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7CB1" w:rsidRPr="00D67CB1" w:rsidRDefault="00D67CB1" w:rsidP="00D67CB1">
      <w:pPr>
        <w:autoSpaceDE w:val="0"/>
        <w:autoSpaceDN w:val="0"/>
        <w:adjustRightInd w:val="0"/>
        <w:jc w:val="center"/>
        <w:rPr>
          <w:rFonts w:ascii="Century Gothic" w:hAnsi="Century Gothic" w:cs="Arial Black"/>
          <w:b/>
          <w:bCs/>
        </w:rPr>
      </w:pPr>
      <w:bookmarkStart w:id="0" w:name="_Hlk536717685"/>
      <w:r w:rsidRPr="00D67CB1">
        <w:rPr>
          <w:rFonts w:ascii="Century Gothic" w:hAnsi="Century Gothic" w:cs="Arial Black"/>
          <w:b/>
          <w:bCs/>
        </w:rPr>
        <w:t>INSTITUTO DE PREVIDÊNCIA DO MUNICÍPIO DE VOTUPORANGA</w:t>
      </w:r>
    </w:p>
    <w:p w:rsidR="00D67CB1" w:rsidRDefault="00D67CB1" w:rsidP="00D67CB1">
      <w:pPr>
        <w:autoSpaceDE w:val="0"/>
        <w:autoSpaceDN w:val="0"/>
        <w:adjustRightInd w:val="0"/>
        <w:jc w:val="center"/>
        <w:rPr>
          <w:rFonts w:ascii="Century Gothic" w:hAnsi="Century Gothic" w:cs="Arial Black"/>
          <w:b/>
          <w:bCs/>
        </w:rPr>
      </w:pPr>
      <w:r w:rsidRPr="00D67CB1">
        <w:rPr>
          <w:rFonts w:ascii="Century Gothic" w:hAnsi="Century Gothic" w:cs="Arial Black"/>
          <w:b/>
          <w:bCs/>
        </w:rPr>
        <w:t>COMITÊ DE INVESTIMENTOS</w:t>
      </w:r>
    </w:p>
    <w:p w:rsidR="00EF3BEB" w:rsidRDefault="00EF3BEB" w:rsidP="00D67CB1">
      <w:pPr>
        <w:autoSpaceDE w:val="0"/>
        <w:autoSpaceDN w:val="0"/>
        <w:adjustRightInd w:val="0"/>
        <w:jc w:val="center"/>
        <w:rPr>
          <w:rFonts w:ascii="Century Gothic" w:hAnsi="Century Gothic" w:cs="Arial Black"/>
          <w:b/>
          <w:bCs/>
        </w:rPr>
      </w:pPr>
    </w:p>
    <w:p w:rsidR="00B366A0" w:rsidRDefault="001D67ED" w:rsidP="00B366A0">
      <w:pPr>
        <w:tabs>
          <w:tab w:val="left" w:pos="8364"/>
        </w:tabs>
        <w:autoSpaceDE w:val="0"/>
        <w:autoSpaceDN w:val="0"/>
        <w:adjustRightInd w:val="0"/>
        <w:rPr>
          <w:rFonts w:ascii="Century Gothic" w:eastAsiaTheme="minorHAnsi" w:hAnsi="Century Gothic" w:cs="Verdana"/>
        </w:rPr>
      </w:pPr>
      <w:r w:rsidRPr="00996525">
        <w:rPr>
          <w:rFonts w:ascii="Century Gothic" w:hAnsi="Century Gothic" w:cs="Arial"/>
          <w:b/>
        </w:rPr>
        <w:t xml:space="preserve">Ata n° </w:t>
      </w:r>
      <w:r w:rsidR="00E14B1B">
        <w:rPr>
          <w:rFonts w:ascii="Century Gothic" w:hAnsi="Century Gothic" w:cs="Arial"/>
          <w:b/>
        </w:rPr>
        <w:t>8</w:t>
      </w:r>
      <w:r w:rsidR="00657DE9">
        <w:rPr>
          <w:rFonts w:ascii="Century Gothic" w:hAnsi="Century Gothic" w:cs="Arial"/>
          <w:b/>
        </w:rPr>
        <w:t>5</w:t>
      </w:r>
      <w:r w:rsidRPr="00996525">
        <w:rPr>
          <w:rFonts w:ascii="Century Gothic" w:hAnsi="Century Gothic" w:cs="Arial"/>
          <w:b/>
        </w:rPr>
        <w:t>ª/20</w:t>
      </w:r>
      <w:r w:rsidR="009C3C51">
        <w:rPr>
          <w:rFonts w:ascii="Century Gothic" w:hAnsi="Century Gothic" w:cs="Arial"/>
          <w:b/>
        </w:rPr>
        <w:t>20</w:t>
      </w:r>
      <w:r w:rsidRPr="00996525">
        <w:rPr>
          <w:rFonts w:ascii="Century Gothic" w:hAnsi="Century Gothic" w:cs="Arial"/>
        </w:rPr>
        <w:t xml:space="preserve"> - Aos </w:t>
      </w:r>
      <w:r w:rsidR="00657DE9">
        <w:rPr>
          <w:rFonts w:ascii="Century Gothic" w:hAnsi="Century Gothic" w:cs="Arial"/>
        </w:rPr>
        <w:t>2</w:t>
      </w:r>
      <w:r w:rsidR="00005398">
        <w:rPr>
          <w:rFonts w:ascii="Century Gothic" w:hAnsi="Century Gothic" w:cs="Arial"/>
        </w:rPr>
        <w:t>2</w:t>
      </w:r>
      <w:r w:rsidR="00856158" w:rsidRPr="00996525">
        <w:rPr>
          <w:rFonts w:ascii="Century Gothic" w:hAnsi="Century Gothic" w:cs="Arial"/>
        </w:rPr>
        <w:t xml:space="preserve"> </w:t>
      </w:r>
      <w:r w:rsidRPr="00996525">
        <w:rPr>
          <w:rFonts w:ascii="Century Gothic" w:hAnsi="Century Gothic" w:cs="Arial"/>
        </w:rPr>
        <w:t xml:space="preserve">dias do mês de </w:t>
      </w:r>
      <w:r w:rsidR="00657DE9">
        <w:rPr>
          <w:rFonts w:ascii="Century Gothic" w:hAnsi="Century Gothic" w:cs="Arial"/>
        </w:rPr>
        <w:t>janeiro</w:t>
      </w:r>
      <w:r w:rsidR="00FF0287" w:rsidRPr="00996525">
        <w:rPr>
          <w:rFonts w:ascii="Century Gothic" w:hAnsi="Century Gothic" w:cs="Arial"/>
        </w:rPr>
        <w:t xml:space="preserve"> </w:t>
      </w:r>
      <w:r w:rsidR="00A6501E" w:rsidRPr="00996525">
        <w:rPr>
          <w:rFonts w:ascii="Century Gothic" w:hAnsi="Century Gothic" w:cs="Arial"/>
        </w:rPr>
        <w:t>do</w:t>
      </w:r>
      <w:r w:rsidRPr="00996525">
        <w:rPr>
          <w:rFonts w:ascii="Century Gothic" w:hAnsi="Century Gothic" w:cs="Arial"/>
        </w:rPr>
        <w:t xml:space="preserve"> ano de </w:t>
      </w:r>
      <w:r w:rsidR="00657DE9">
        <w:rPr>
          <w:rFonts w:ascii="Century Gothic" w:hAnsi="Century Gothic" w:cs="Arial"/>
        </w:rPr>
        <w:t>2020</w:t>
      </w:r>
      <w:r w:rsidR="00856158" w:rsidRPr="00996525">
        <w:rPr>
          <w:rFonts w:ascii="Century Gothic" w:hAnsi="Century Gothic" w:cs="Arial"/>
        </w:rPr>
        <w:t xml:space="preserve">, às </w:t>
      </w:r>
      <w:r w:rsidR="00657DE9">
        <w:rPr>
          <w:rFonts w:ascii="Century Gothic" w:hAnsi="Century Gothic" w:cs="Arial"/>
        </w:rPr>
        <w:t>08</w:t>
      </w:r>
      <w:r w:rsidR="001B5A68">
        <w:rPr>
          <w:rFonts w:ascii="Century Gothic" w:hAnsi="Century Gothic" w:cs="Arial"/>
        </w:rPr>
        <w:t>:00hs</w:t>
      </w:r>
      <w:r w:rsidRPr="00996525">
        <w:rPr>
          <w:rFonts w:ascii="Century Gothic" w:hAnsi="Century Gothic" w:cs="Arial"/>
        </w:rPr>
        <w:t>, na sede do VOTUPREV, reuniram-se os membros do comitê de investimentos</w:t>
      </w:r>
      <w:r w:rsidR="005319F4" w:rsidRPr="00996525">
        <w:rPr>
          <w:rFonts w:ascii="Century Gothic" w:hAnsi="Century Gothic" w:cs="Arial"/>
        </w:rPr>
        <w:t>.</w:t>
      </w:r>
      <w:r w:rsidR="00856158" w:rsidRPr="00996525">
        <w:rPr>
          <w:rFonts w:ascii="Century Gothic" w:hAnsi="Century Gothic" w:cs="Arial"/>
        </w:rPr>
        <w:t xml:space="preserve"> </w:t>
      </w:r>
      <w:r w:rsidR="00CA1AEF" w:rsidRPr="00996525">
        <w:rPr>
          <w:rFonts w:ascii="Century Gothic" w:hAnsi="Century Gothic"/>
        </w:rPr>
        <w:t>O Presidente</w:t>
      </w:r>
      <w:r w:rsidR="00B30B3A">
        <w:rPr>
          <w:rFonts w:ascii="Century Gothic" w:hAnsi="Century Gothic"/>
        </w:rPr>
        <w:t xml:space="preserve">, </w:t>
      </w:r>
      <w:r w:rsidR="00CA1AEF" w:rsidRPr="00996525">
        <w:rPr>
          <w:rFonts w:ascii="Century Gothic" w:hAnsi="Century Gothic"/>
        </w:rPr>
        <w:t xml:space="preserve">iniciou a reunião com a demonstração do desempenho dos investimentos </w:t>
      </w:r>
      <w:r w:rsidR="000343E1">
        <w:rPr>
          <w:rFonts w:ascii="Century Gothic" w:hAnsi="Century Gothic"/>
        </w:rPr>
        <w:t>d</w:t>
      </w:r>
      <w:r w:rsidR="005F5B9D" w:rsidRPr="00996525">
        <w:rPr>
          <w:rFonts w:ascii="Century Gothic" w:hAnsi="Century Gothic"/>
        </w:rPr>
        <w:t xml:space="preserve">o </w:t>
      </w:r>
      <w:r w:rsidR="00677E0F" w:rsidRPr="00996525">
        <w:rPr>
          <w:rFonts w:ascii="Century Gothic" w:hAnsi="Century Gothic"/>
        </w:rPr>
        <w:t xml:space="preserve">mês de </w:t>
      </w:r>
      <w:r w:rsidR="00657DE9">
        <w:rPr>
          <w:rFonts w:ascii="Century Gothic" w:hAnsi="Century Gothic"/>
          <w:b/>
        </w:rPr>
        <w:t>dezembro</w:t>
      </w:r>
      <w:r w:rsidR="005F5B9D" w:rsidRPr="00996525">
        <w:rPr>
          <w:rFonts w:ascii="Century Gothic" w:hAnsi="Century Gothic"/>
        </w:rPr>
        <w:t>:</w:t>
      </w:r>
      <w:r w:rsidR="0022122D" w:rsidRPr="00996525">
        <w:rPr>
          <w:rFonts w:ascii="Century Gothic" w:hAnsi="Century Gothic"/>
        </w:rPr>
        <w:t xml:space="preserve"> </w:t>
      </w:r>
    </w:p>
    <w:tbl>
      <w:tblPr>
        <w:tblStyle w:val="Tabelacomgrade"/>
        <w:tblW w:w="0" w:type="auto"/>
        <w:tblLook w:val="04A0" w:firstRow="1" w:lastRow="0" w:firstColumn="1" w:lastColumn="0" w:noHBand="0" w:noVBand="1"/>
      </w:tblPr>
      <w:tblGrid>
        <w:gridCol w:w="1069"/>
        <w:gridCol w:w="1844"/>
        <w:gridCol w:w="1081"/>
        <w:gridCol w:w="2022"/>
        <w:gridCol w:w="1501"/>
        <w:gridCol w:w="1488"/>
      </w:tblGrid>
      <w:tr w:rsidR="00F14B85" w:rsidTr="00F14B85">
        <w:tc>
          <w:tcPr>
            <w:tcW w:w="1069" w:type="dxa"/>
            <w:shd w:val="clear" w:color="auto" w:fill="D9D9D9" w:themeFill="background1" w:themeFillShade="D9"/>
          </w:tcPr>
          <w:p w:rsidR="00F14B85" w:rsidRPr="0093011D" w:rsidRDefault="00F14B85" w:rsidP="009C01A5">
            <w:pPr>
              <w:tabs>
                <w:tab w:val="left" w:pos="8364"/>
              </w:tabs>
              <w:autoSpaceDE w:val="0"/>
              <w:autoSpaceDN w:val="0"/>
              <w:adjustRightInd w:val="0"/>
              <w:jc w:val="center"/>
              <w:rPr>
                <w:rFonts w:ascii="Century Gothic" w:eastAsiaTheme="minorHAnsi" w:hAnsi="Century Gothic" w:cs="Verdana"/>
                <w:b/>
                <w:sz w:val="24"/>
                <w:szCs w:val="24"/>
              </w:rPr>
            </w:pPr>
            <w:r w:rsidRPr="0093011D">
              <w:rPr>
                <w:rFonts w:ascii="Century Gothic" w:eastAsiaTheme="minorHAnsi" w:hAnsi="Century Gothic" w:cs="Verdana"/>
                <w:b/>
                <w:sz w:val="24"/>
                <w:szCs w:val="24"/>
              </w:rPr>
              <w:t>2019</w:t>
            </w:r>
          </w:p>
        </w:tc>
        <w:tc>
          <w:tcPr>
            <w:tcW w:w="1844" w:type="dxa"/>
            <w:shd w:val="clear" w:color="auto" w:fill="D9D9D9" w:themeFill="background1" w:themeFillShade="D9"/>
          </w:tcPr>
          <w:p w:rsidR="00F14B85" w:rsidRPr="0093011D" w:rsidRDefault="00F14B85" w:rsidP="009C01A5">
            <w:pPr>
              <w:tabs>
                <w:tab w:val="left" w:pos="8364"/>
              </w:tabs>
              <w:autoSpaceDE w:val="0"/>
              <w:autoSpaceDN w:val="0"/>
              <w:adjustRightInd w:val="0"/>
              <w:jc w:val="center"/>
              <w:rPr>
                <w:rFonts w:ascii="Century Gothic" w:eastAsiaTheme="minorHAnsi" w:hAnsi="Century Gothic" w:cs="Verdana"/>
                <w:b/>
                <w:sz w:val="24"/>
                <w:szCs w:val="24"/>
              </w:rPr>
            </w:pPr>
            <w:r w:rsidRPr="0093011D">
              <w:rPr>
                <w:rFonts w:ascii="Century Gothic" w:eastAsiaTheme="minorHAnsi" w:hAnsi="Century Gothic" w:cs="Verdana"/>
                <w:b/>
                <w:sz w:val="24"/>
                <w:szCs w:val="24"/>
              </w:rPr>
              <w:t>Rentabilidade</w:t>
            </w:r>
          </w:p>
        </w:tc>
        <w:tc>
          <w:tcPr>
            <w:tcW w:w="1081" w:type="dxa"/>
            <w:shd w:val="clear" w:color="auto" w:fill="D9D9D9" w:themeFill="background1" w:themeFillShade="D9"/>
          </w:tcPr>
          <w:p w:rsidR="00F14B85" w:rsidRPr="0093011D" w:rsidRDefault="00F14B85" w:rsidP="009C01A5">
            <w:pPr>
              <w:tabs>
                <w:tab w:val="left" w:pos="8364"/>
              </w:tabs>
              <w:autoSpaceDE w:val="0"/>
              <w:autoSpaceDN w:val="0"/>
              <w:adjustRightInd w:val="0"/>
              <w:jc w:val="center"/>
              <w:rPr>
                <w:rFonts w:ascii="Century Gothic" w:eastAsiaTheme="minorHAnsi" w:hAnsi="Century Gothic" w:cs="Verdana"/>
                <w:b/>
                <w:sz w:val="24"/>
                <w:szCs w:val="24"/>
              </w:rPr>
            </w:pPr>
            <w:r w:rsidRPr="0093011D">
              <w:rPr>
                <w:rFonts w:ascii="Century Gothic" w:eastAsiaTheme="minorHAnsi" w:hAnsi="Century Gothic" w:cs="Verdana"/>
                <w:b/>
                <w:sz w:val="24"/>
                <w:szCs w:val="24"/>
              </w:rPr>
              <w:t>IPCA</w:t>
            </w:r>
          </w:p>
        </w:tc>
        <w:tc>
          <w:tcPr>
            <w:tcW w:w="2022" w:type="dxa"/>
            <w:shd w:val="clear" w:color="auto" w:fill="D9D9D9" w:themeFill="background1" w:themeFillShade="D9"/>
          </w:tcPr>
          <w:p w:rsidR="00F14B85" w:rsidRPr="0093011D" w:rsidRDefault="00F14B85" w:rsidP="009C01A5">
            <w:pPr>
              <w:tabs>
                <w:tab w:val="left" w:pos="8364"/>
              </w:tabs>
              <w:autoSpaceDE w:val="0"/>
              <w:autoSpaceDN w:val="0"/>
              <w:adjustRightInd w:val="0"/>
              <w:jc w:val="center"/>
              <w:rPr>
                <w:rFonts w:ascii="Century Gothic" w:eastAsiaTheme="minorHAnsi" w:hAnsi="Century Gothic" w:cs="Verdana"/>
                <w:b/>
                <w:sz w:val="24"/>
                <w:szCs w:val="24"/>
              </w:rPr>
            </w:pPr>
            <w:r w:rsidRPr="0093011D">
              <w:rPr>
                <w:rFonts w:ascii="Century Gothic" w:eastAsiaTheme="minorHAnsi" w:hAnsi="Century Gothic" w:cs="Verdana"/>
                <w:b/>
                <w:sz w:val="24"/>
                <w:szCs w:val="24"/>
              </w:rPr>
              <w:t>META</w:t>
            </w:r>
            <w:r>
              <w:rPr>
                <w:rFonts w:ascii="Century Gothic" w:eastAsiaTheme="minorHAnsi" w:hAnsi="Century Gothic" w:cs="Verdana"/>
                <w:b/>
                <w:sz w:val="24"/>
                <w:szCs w:val="24"/>
              </w:rPr>
              <w:t>(</w:t>
            </w:r>
            <w:r w:rsidRPr="0093011D">
              <w:rPr>
                <w:rFonts w:ascii="Century Gothic" w:eastAsiaTheme="minorHAnsi" w:hAnsi="Century Gothic" w:cs="Verdana"/>
                <w:b/>
                <w:sz w:val="22"/>
                <w:szCs w:val="22"/>
              </w:rPr>
              <w:t>IPCA</w:t>
            </w:r>
            <w:r w:rsidRPr="0093011D">
              <w:rPr>
                <w:rFonts w:ascii="Century Gothic" w:eastAsiaTheme="minorHAnsi" w:hAnsi="Century Gothic" w:cs="Verdana"/>
                <w:b/>
                <w:sz w:val="24"/>
                <w:szCs w:val="24"/>
              </w:rPr>
              <w:t>+6%)</w:t>
            </w:r>
          </w:p>
        </w:tc>
        <w:tc>
          <w:tcPr>
            <w:tcW w:w="1501" w:type="dxa"/>
            <w:shd w:val="clear" w:color="auto" w:fill="D9D9D9" w:themeFill="background1" w:themeFillShade="D9"/>
          </w:tcPr>
          <w:p w:rsidR="00F14B85" w:rsidRPr="0093011D" w:rsidRDefault="00F14B85" w:rsidP="009C01A5">
            <w:pPr>
              <w:tabs>
                <w:tab w:val="left" w:pos="8364"/>
              </w:tabs>
              <w:autoSpaceDE w:val="0"/>
              <w:autoSpaceDN w:val="0"/>
              <w:adjustRightInd w:val="0"/>
              <w:jc w:val="center"/>
              <w:rPr>
                <w:rFonts w:ascii="Century Gothic" w:eastAsiaTheme="minorHAnsi" w:hAnsi="Century Gothic" w:cs="Verdana"/>
                <w:b/>
                <w:sz w:val="24"/>
                <w:szCs w:val="24"/>
              </w:rPr>
            </w:pPr>
            <w:r w:rsidRPr="0093011D">
              <w:rPr>
                <w:rFonts w:ascii="Century Gothic" w:eastAsiaTheme="minorHAnsi" w:hAnsi="Century Gothic" w:cs="Verdana"/>
                <w:b/>
                <w:sz w:val="24"/>
                <w:szCs w:val="24"/>
              </w:rPr>
              <w:t>Resultado</w:t>
            </w:r>
          </w:p>
        </w:tc>
        <w:tc>
          <w:tcPr>
            <w:tcW w:w="1488" w:type="dxa"/>
            <w:vMerge w:val="restart"/>
            <w:shd w:val="clear" w:color="auto" w:fill="D9D9D9" w:themeFill="background1" w:themeFillShade="D9"/>
          </w:tcPr>
          <w:p w:rsidR="00F14B85" w:rsidRPr="00F14B85" w:rsidRDefault="00F14B85" w:rsidP="009C01A5">
            <w:pPr>
              <w:tabs>
                <w:tab w:val="left" w:pos="8364"/>
              </w:tabs>
              <w:autoSpaceDE w:val="0"/>
              <w:autoSpaceDN w:val="0"/>
              <w:adjustRightInd w:val="0"/>
              <w:jc w:val="center"/>
              <w:rPr>
                <w:rFonts w:ascii="Century Gothic" w:eastAsiaTheme="minorHAnsi" w:hAnsi="Century Gothic" w:cs="Verdana"/>
                <w:b/>
                <w:sz w:val="22"/>
                <w:szCs w:val="22"/>
              </w:rPr>
            </w:pPr>
            <w:r w:rsidRPr="00F14B85">
              <w:rPr>
                <w:rFonts w:ascii="Century Gothic" w:eastAsiaTheme="minorHAnsi" w:hAnsi="Century Gothic" w:cs="Verdana"/>
                <w:b/>
                <w:sz w:val="22"/>
                <w:szCs w:val="22"/>
              </w:rPr>
              <w:t>TAXA</w:t>
            </w:r>
          </w:p>
          <w:p w:rsidR="00F14B85" w:rsidRPr="00F14B85" w:rsidRDefault="00F14B85" w:rsidP="009C01A5">
            <w:pPr>
              <w:tabs>
                <w:tab w:val="left" w:pos="8364"/>
              </w:tabs>
              <w:autoSpaceDE w:val="0"/>
              <w:autoSpaceDN w:val="0"/>
              <w:adjustRightInd w:val="0"/>
              <w:jc w:val="center"/>
              <w:rPr>
                <w:rFonts w:ascii="Century Gothic" w:eastAsiaTheme="minorHAnsi" w:hAnsi="Century Gothic" w:cs="Verdana"/>
                <w:b/>
                <w:sz w:val="24"/>
                <w:szCs w:val="24"/>
              </w:rPr>
            </w:pPr>
            <w:r w:rsidRPr="00F14B85">
              <w:rPr>
                <w:rFonts w:ascii="Century Gothic" w:eastAsiaTheme="minorHAnsi" w:hAnsi="Century Gothic" w:cs="Verdana"/>
                <w:b/>
                <w:sz w:val="22"/>
                <w:szCs w:val="22"/>
              </w:rPr>
              <w:t>SELIC</w:t>
            </w:r>
            <w:r w:rsidRPr="00F14B85">
              <w:rPr>
                <w:rFonts w:ascii="Century Gothic" w:eastAsiaTheme="minorHAnsi" w:hAnsi="Century Gothic" w:cs="Verdana"/>
                <w:b/>
                <w:sz w:val="24"/>
                <w:szCs w:val="24"/>
              </w:rPr>
              <w:t xml:space="preserve"> </w:t>
            </w:r>
          </w:p>
        </w:tc>
      </w:tr>
      <w:tr w:rsidR="00F14B85" w:rsidTr="00F14B85">
        <w:tc>
          <w:tcPr>
            <w:tcW w:w="1069" w:type="dxa"/>
          </w:tcPr>
          <w:p w:rsidR="00F14B85" w:rsidRPr="00906730" w:rsidRDefault="00F14B85" w:rsidP="009C01A5">
            <w:pPr>
              <w:tabs>
                <w:tab w:val="left" w:pos="8364"/>
              </w:tabs>
              <w:autoSpaceDE w:val="0"/>
              <w:autoSpaceDN w:val="0"/>
              <w:adjustRightInd w:val="0"/>
              <w:jc w:val="center"/>
              <w:rPr>
                <w:rFonts w:ascii="Century Gothic" w:eastAsiaTheme="minorHAnsi" w:hAnsi="Century Gothic" w:cs="Verdana"/>
                <w:b/>
              </w:rPr>
            </w:pPr>
            <w:r w:rsidRPr="00906730">
              <w:rPr>
                <w:rFonts w:ascii="Century Gothic" w:eastAsiaTheme="minorHAnsi" w:hAnsi="Century Gothic" w:cs="Verdana"/>
                <w:b/>
              </w:rPr>
              <w:t>No mês</w:t>
            </w:r>
          </w:p>
        </w:tc>
        <w:tc>
          <w:tcPr>
            <w:tcW w:w="1844" w:type="dxa"/>
          </w:tcPr>
          <w:p w:rsidR="00F14B85" w:rsidRDefault="00657DE9" w:rsidP="00B30B3A">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1,39</w:t>
            </w:r>
            <w:r w:rsidR="00F14B85">
              <w:rPr>
                <w:rFonts w:ascii="Century Gothic" w:eastAsiaTheme="minorHAnsi" w:hAnsi="Century Gothic" w:cs="Verdana"/>
              </w:rPr>
              <w:t>%</w:t>
            </w:r>
          </w:p>
        </w:tc>
        <w:tc>
          <w:tcPr>
            <w:tcW w:w="1081" w:type="dxa"/>
          </w:tcPr>
          <w:p w:rsidR="00F14B85" w:rsidRDefault="00657DE9" w:rsidP="00B30B3A">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1,15</w:t>
            </w:r>
            <w:r w:rsidR="00F14B85">
              <w:rPr>
                <w:rFonts w:ascii="Century Gothic" w:eastAsiaTheme="minorHAnsi" w:hAnsi="Century Gothic" w:cs="Verdana"/>
              </w:rPr>
              <w:t>%</w:t>
            </w:r>
          </w:p>
        </w:tc>
        <w:tc>
          <w:tcPr>
            <w:tcW w:w="2022" w:type="dxa"/>
          </w:tcPr>
          <w:p w:rsidR="00F14B85" w:rsidRDefault="00657DE9" w:rsidP="00657DE9">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1,64</w:t>
            </w:r>
            <w:r w:rsidR="00F14B85">
              <w:rPr>
                <w:rFonts w:ascii="Century Gothic" w:eastAsiaTheme="minorHAnsi" w:hAnsi="Century Gothic" w:cs="Verdana"/>
              </w:rPr>
              <w:t>%</w:t>
            </w:r>
          </w:p>
        </w:tc>
        <w:tc>
          <w:tcPr>
            <w:tcW w:w="1501" w:type="dxa"/>
          </w:tcPr>
          <w:p w:rsidR="00F14B85" w:rsidRDefault="00B30B3A" w:rsidP="00871469">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w:t>
            </w:r>
            <w:r w:rsidR="00657DE9">
              <w:rPr>
                <w:rFonts w:ascii="Century Gothic" w:eastAsiaTheme="minorHAnsi" w:hAnsi="Century Gothic" w:cs="Verdana"/>
              </w:rPr>
              <w:t>0,2</w:t>
            </w:r>
            <w:r>
              <w:rPr>
                <w:rFonts w:ascii="Century Gothic" w:eastAsiaTheme="minorHAnsi" w:hAnsi="Century Gothic" w:cs="Verdana"/>
              </w:rPr>
              <w:t>5</w:t>
            </w:r>
            <w:r w:rsidR="00F14B85">
              <w:rPr>
                <w:rFonts w:ascii="Century Gothic" w:eastAsiaTheme="minorHAnsi" w:hAnsi="Century Gothic" w:cs="Verdana"/>
              </w:rPr>
              <w:t>%</w:t>
            </w:r>
          </w:p>
        </w:tc>
        <w:tc>
          <w:tcPr>
            <w:tcW w:w="1488" w:type="dxa"/>
            <w:vMerge/>
            <w:shd w:val="clear" w:color="auto" w:fill="D9D9D9" w:themeFill="background1" w:themeFillShade="D9"/>
          </w:tcPr>
          <w:p w:rsidR="00F14B85" w:rsidRPr="00F14B85" w:rsidRDefault="00F14B85" w:rsidP="00871469">
            <w:pPr>
              <w:tabs>
                <w:tab w:val="left" w:pos="8364"/>
              </w:tabs>
              <w:autoSpaceDE w:val="0"/>
              <w:autoSpaceDN w:val="0"/>
              <w:adjustRightInd w:val="0"/>
              <w:jc w:val="center"/>
              <w:rPr>
                <w:rFonts w:ascii="Century Gothic" w:eastAsiaTheme="minorHAnsi" w:hAnsi="Century Gothic" w:cs="Verdana"/>
                <w:b/>
              </w:rPr>
            </w:pPr>
          </w:p>
        </w:tc>
      </w:tr>
      <w:tr w:rsidR="00F14B85" w:rsidTr="00F14B85">
        <w:tc>
          <w:tcPr>
            <w:tcW w:w="1069" w:type="dxa"/>
          </w:tcPr>
          <w:p w:rsidR="00F14B85" w:rsidRPr="00906730" w:rsidRDefault="00F14B85" w:rsidP="009C01A5">
            <w:pPr>
              <w:tabs>
                <w:tab w:val="left" w:pos="8364"/>
              </w:tabs>
              <w:autoSpaceDE w:val="0"/>
              <w:autoSpaceDN w:val="0"/>
              <w:adjustRightInd w:val="0"/>
              <w:jc w:val="center"/>
              <w:rPr>
                <w:rFonts w:ascii="Century Gothic" w:eastAsiaTheme="minorHAnsi" w:hAnsi="Century Gothic" w:cs="Verdana"/>
                <w:b/>
              </w:rPr>
            </w:pPr>
            <w:r w:rsidRPr="00906730">
              <w:rPr>
                <w:rFonts w:ascii="Century Gothic" w:eastAsiaTheme="minorHAnsi" w:hAnsi="Century Gothic" w:cs="Verdana"/>
                <w:b/>
              </w:rPr>
              <w:t>No ano</w:t>
            </w:r>
          </w:p>
        </w:tc>
        <w:tc>
          <w:tcPr>
            <w:tcW w:w="1844" w:type="dxa"/>
          </w:tcPr>
          <w:p w:rsidR="00F14B85" w:rsidRDefault="00657DE9" w:rsidP="00657DE9">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12,65</w:t>
            </w:r>
            <w:r w:rsidR="00F14B85">
              <w:rPr>
                <w:rFonts w:ascii="Century Gothic" w:eastAsiaTheme="minorHAnsi" w:hAnsi="Century Gothic" w:cs="Verdana"/>
              </w:rPr>
              <w:t>%</w:t>
            </w:r>
          </w:p>
        </w:tc>
        <w:tc>
          <w:tcPr>
            <w:tcW w:w="1081" w:type="dxa"/>
          </w:tcPr>
          <w:p w:rsidR="00F14B85" w:rsidRDefault="00657DE9" w:rsidP="00B366A0">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4,31</w:t>
            </w:r>
            <w:r w:rsidR="00F14B85">
              <w:rPr>
                <w:rFonts w:ascii="Century Gothic" w:eastAsiaTheme="minorHAnsi" w:hAnsi="Century Gothic" w:cs="Verdana"/>
              </w:rPr>
              <w:t>%</w:t>
            </w:r>
          </w:p>
        </w:tc>
        <w:tc>
          <w:tcPr>
            <w:tcW w:w="2022" w:type="dxa"/>
          </w:tcPr>
          <w:p w:rsidR="00F14B85" w:rsidRDefault="00657DE9" w:rsidP="009C01A5">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10,56</w:t>
            </w:r>
            <w:r w:rsidR="00F14B85">
              <w:rPr>
                <w:rFonts w:ascii="Century Gothic" w:eastAsiaTheme="minorHAnsi" w:hAnsi="Century Gothic" w:cs="Verdana"/>
              </w:rPr>
              <w:t>%</w:t>
            </w:r>
          </w:p>
        </w:tc>
        <w:tc>
          <w:tcPr>
            <w:tcW w:w="1501" w:type="dxa"/>
          </w:tcPr>
          <w:p w:rsidR="00F14B85" w:rsidRDefault="00F14B85" w:rsidP="00657DE9">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2,</w:t>
            </w:r>
            <w:r w:rsidR="00657DE9">
              <w:rPr>
                <w:rFonts w:ascii="Century Gothic" w:eastAsiaTheme="minorHAnsi" w:hAnsi="Century Gothic" w:cs="Verdana"/>
              </w:rPr>
              <w:t>08</w:t>
            </w:r>
            <w:r>
              <w:rPr>
                <w:rFonts w:ascii="Century Gothic" w:eastAsiaTheme="minorHAnsi" w:hAnsi="Century Gothic" w:cs="Verdana"/>
              </w:rPr>
              <w:t>%</w:t>
            </w:r>
          </w:p>
        </w:tc>
        <w:tc>
          <w:tcPr>
            <w:tcW w:w="1488" w:type="dxa"/>
          </w:tcPr>
          <w:p w:rsidR="00F14B85" w:rsidRDefault="00657DE9" w:rsidP="00657DE9">
            <w:pPr>
              <w:tabs>
                <w:tab w:val="left" w:pos="8364"/>
              </w:tabs>
              <w:autoSpaceDE w:val="0"/>
              <w:autoSpaceDN w:val="0"/>
              <w:adjustRightInd w:val="0"/>
              <w:jc w:val="center"/>
              <w:rPr>
                <w:rFonts w:ascii="Century Gothic" w:eastAsiaTheme="minorHAnsi" w:hAnsi="Century Gothic" w:cs="Verdana"/>
              </w:rPr>
            </w:pPr>
            <w:r>
              <w:rPr>
                <w:rFonts w:ascii="Century Gothic" w:eastAsiaTheme="minorHAnsi" w:hAnsi="Century Gothic" w:cs="Verdana"/>
              </w:rPr>
              <w:t>4,5</w:t>
            </w:r>
            <w:r w:rsidR="00F14B85">
              <w:rPr>
                <w:rFonts w:ascii="Century Gothic" w:eastAsiaTheme="minorHAnsi" w:hAnsi="Century Gothic" w:cs="Verdana"/>
              </w:rPr>
              <w:t>% aa</w:t>
            </w:r>
          </w:p>
        </w:tc>
      </w:tr>
    </w:tbl>
    <w:p w:rsidR="00E727AB" w:rsidRDefault="0016546B" w:rsidP="0016546B">
      <w:pPr>
        <w:tabs>
          <w:tab w:val="left" w:pos="8364"/>
        </w:tabs>
        <w:autoSpaceDE w:val="0"/>
        <w:autoSpaceDN w:val="0"/>
        <w:adjustRightInd w:val="0"/>
        <w:rPr>
          <w:rFonts w:ascii="Century Gothic" w:eastAsiaTheme="minorHAnsi" w:hAnsi="Century Gothic" w:cs="Verdana"/>
        </w:rPr>
      </w:pPr>
      <w:r w:rsidRPr="0016546B">
        <w:rPr>
          <w:rFonts w:ascii="Century Gothic" w:eastAsiaTheme="minorHAnsi" w:hAnsi="Century Gothic" w:cs="Verdana"/>
        </w:rPr>
        <w:t>O ano de 2019 encerrou de maneira positiva para os investimentos em renda fixa e renda variável, após um mês de novembro de freada nos rendimentos, especialmente dos títulos públicos federais. Mesmo com um cenário bastante tenso no exterior, com fuga de capital estrangeiro da bolsa brasileira, os fundamentos macroeconômicos domésticos se sobrepuseram a esta turbulência, permitindo que os ativos brasileiros mantivessem boa performance ao longo do período.</w:t>
      </w:r>
      <w:r>
        <w:rPr>
          <w:rFonts w:ascii="Century Gothic" w:eastAsiaTheme="minorHAnsi" w:hAnsi="Century Gothic" w:cs="Verdana"/>
        </w:rPr>
        <w:t xml:space="preserve"> </w:t>
      </w:r>
      <w:r w:rsidR="00E727AB" w:rsidRPr="00E727AB">
        <w:rPr>
          <w:rFonts w:ascii="Century Gothic" w:eastAsiaTheme="minorHAnsi" w:hAnsi="Century Gothic" w:cs="Verdana"/>
        </w:rPr>
        <w:t>No cenário doméstico, continuamos</w:t>
      </w:r>
      <w:r w:rsidR="00E727AB">
        <w:rPr>
          <w:rFonts w:ascii="Century Gothic" w:eastAsiaTheme="minorHAnsi" w:hAnsi="Century Gothic" w:cs="Verdana"/>
        </w:rPr>
        <w:t xml:space="preserve"> </w:t>
      </w:r>
      <w:r w:rsidR="00E727AB" w:rsidRPr="00E727AB">
        <w:rPr>
          <w:rFonts w:ascii="Century Gothic" w:eastAsiaTheme="minorHAnsi" w:hAnsi="Century Gothic" w:cs="Verdana"/>
        </w:rPr>
        <w:t>observando uma sequência de dados</w:t>
      </w:r>
      <w:r w:rsidR="00E727AB">
        <w:rPr>
          <w:rFonts w:ascii="Century Gothic" w:eastAsiaTheme="minorHAnsi" w:hAnsi="Century Gothic" w:cs="Verdana"/>
        </w:rPr>
        <w:t xml:space="preserve"> </w:t>
      </w:r>
      <w:r w:rsidR="00E727AB" w:rsidRPr="00E727AB">
        <w:rPr>
          <w:rFonts w:ascii="Century Gothic" w:eastAsiaTheme="minorHAnsi" w:hAnsi="Century Gothic" w:cs="Verdana"/>
        </w:rPr>
        <w:t>positivos para a atividade</w:t>
      </w:r>
      <w:r w:rsidR="00E727AB">
        <w:rPr>
          <w:rFonts w:ascii="Century Gothic" w:eastAsiaTheme="minorHAnsi" w:hAnsi="Century Gothic" w:cs="Verdana"/>
        </w:rPr>
        <w:t>, e os i</w:t>
      </w:r>
      <w:r w:rsidR="00E727AB" w:rsidRPr="00E727AB">
        <w:rPr>
          <w:rFonts w:ascii="Century Gothic" w:eastAsiaTheme="minorHAnsi" w:hAnsi="Century Gothic" w:cs="Verdana"/>
        </w:rPr>
        <w:t>ndicadores de atividade</w:t>
      </w:r>
      <w:r w:rsidR="00E727AB">
        <w:rPr>
          <w:rFonts w:ascii="Century Gothic" w:eastAsiaTheme="minorHAnsi" w:hAnsi="Century Gothic" w:cs="Verdana"/>
        </w:rPr>
        <w:t>s</w:t>
      </w:r>
      <w:r w:rsidR="00E727AB" w:rsidRPr="00E727AB">
        <w:rPr>
          <w:rFonts w:ascii="Century Gothic" w:eastAsiaTheme="minorHAnsi" w:hAnsi="Century Gothic" w:cs="Verdana"/>
        </w:rPr>
        <w:t xml:space="preserve"> apontam</w:t>
      </w:r>
      <w:r w:rsidR="00E727AB">
        <w:rPr>
          <w:rFonts w:ascii="Century Gothic" w:eastAsiaTheme="minorHAnsi" w:hAnsi="Century Gothic" w:cs="Verdana"/>
        </w:rPr>
        <w:t xml:space="preserve"> </w:t>
      </w:r>
      <w:r w:rsidR="00E727AB" w:rsidRPr="00E727AB">
        <w:rPr>
          <w:rFonts w:ascii="Century Gothic" w:eastAsiaTheme="minorHAnsi" w:hAnsi="Century Gothic" w:cs="Verdana"/>
        </w:rPr>
        <w:t>cenário de retomada do crescimento</w:t>
      </w:r>
      <w:r w:rsidR="00E727AB">
        <w:rPr>
          <w:rFonts w:ascii="Century Gothic" w:eastAsiaTheme="minorHAnsi" w:hAnsi="Century Gothic" w:cs="Verdana"/>
        </w:rPr>
        <w:t xml:space="preserve"> </w:t>
      </w:r>
      <w:r>
        <w:rPr>
          <w:rFonts w:ascii="Century Gothic" w:eastAsiaTheme="minorHAnsi" w:hAnsi="Century Gothic" w:cs="Verdana"/>
        </w:rPr>
        <w:t xml:space="preserve">econômico. Em </w:t>
      </w:r>
      <w:r w:rsidR="00E727AB">
        <w:rPr>
          <w:rFonts w:ascii="Century Gothic" w:eastAsiaTheme="minorHAnsi" w:hAnsi="Century Gothic" w:cs="Verdana"/>
        </w:rPr>
        <w:t xml:space="preserve">2019 a </w:t>
      </w:r>
      <w:r w:rsidR="00E727AB" w:rsidRPr="00E727AB">
        <w:rPr>
          <w:rFonts w:ascii="Century Gothic" w:eastAsiaTheme="minorHAnsi" w:hAnsi="Century Gothic" w:cs="Verdana"/>
        </w:rPr>
        <w:t xml:space="preserve">SELIC </w:t>
      </w:r>
      <w:r>
        <w:rPr>
          <w:rFonts w:ascii="Century Gothic" w:eastAsiaTheme="minorHAnsi" w:hAnsi="Century Gothic" w:cs="Verdana"/>
        </w:rPr>
        <w:t xml:space="preserve">fechou </w:t>
      </w:r>
      <w:r w:rsidR="00E727AB" w:rsidRPr="00E727AB">
        <w:rPr>
          <w:rFonts w:ascii="Century Gothic" w:eastAsiaTheme="minorHAnsi" w:hAnsi="Century Gothic" w:cs="Verdana"/>
        </w:rPr>
        <w:t xml:space="preserve">em 4,50% </w:t>
      </w:r>
      <w:proofErr w:type="spellStart"/>
      <w:r w:rsidR="00E727AB" w:rsidRPr="00E727AB">
        <w:rPr>
          <w:rFonts w:ascii="Century Gothic" w:eastAsiaTheme="minorHAnsi" w:hAnsi="Century Gothic" w:cs="Verdana"/>
        </w:rPr>
        <w:t>a</w:t>
      </w:r>
      <w:r>
        <w:rPr>
          <w:rFonts w:ascii="Century Gothic" w:eastAsiaTheme="minorHAnsi" w:hAnsi="Century Gothic" w:cs="Verdana"/>
        </w:rPr>
        <w:t>.a</w:t>
      </w:r>
      <w:proofErr w:type="spellEnd"/>
      <w:r w:rsidR="00E727AB" w:rsidRPr="00E727AB">
        <w:rPr>
          <w:rFonts w:ascii="Century Gothic" w:eastAsiaTheme="minorHAnsi" w:hAnsi="Century Gothic" w:cs="Verdana"/>
        </w:rPr>
        <w:t xml:space="preserve"> com</w:t>
      </w:r>
      <w:r w:rsidR="00E727AB">
        <w:rPr>
          <w:rFonts w:ascii="Century Gothic" w:eastAsiaTheme="minorHAnsi" w:hAnsi="Century Gothic" w:cs="Verdana"/>
        </w:rPr>
        <w:t xml:space="preserve"> </w:t>
      </w:r>
      <w:r w:rsidR="00E727AB" w:rsidRPr="00E727AB">
        <w:rPr>
          <w:rFonts w:ascii="Century Gothic" w:eastAsiaTheme="minorHAnsi" w:hAnsi="Century Gothic" w:cs="Verdana"/>
        </w:rPr>
        <w:t>perspectiva de manutenção nesse</w:t>
      </w:r>
      <w:r w:rsidR="00E727AB">
        <w:rPr>
          <w:rFonts w:ascii="Century Gothic" w:eastAsiaTheme="minorHAnsi" w:hAnsi="Century Gothic" w:cs="Verdana"/>
        </w:rPr>
        <w:t xml:space="preserve"> </w:t>
      </w:r>
      <w:r w:rsidR="00E727AB" w:rsidRPr="00E727AB">
        <w:rPr>
          <w:rFonts w:ascii="Century Gothic" w:eastAsiaTheme="minorHAnsi" w:hAnsi="Century Gothic" w:cs="Verdana"/>
        </w:rPr>
        <w:t>patamar ao longo de 2020.</w:t>
      </w:r>
      <w:r w:rsidR="00E727AB">
        <w:rPr>
          <w:rFonts w:ascii="Century Gothic" w:eastAsiaTheme="minorHAnsi" w:hAnsi="Century Gothic" w:cs="Verdana"/>
        </w:rPr>
        <w:t xml:space="preserve"> </w:t>
      </w:r>
      <w:r w:rsidR="00E727AB" w:rsidRPr="00E727AB">
        <w:rPr>
          <w:rFonts w:ascii="Century Gothic" w:eastAsiaTheme="minorHAnsi" w:hAnsi="Century Gothic" w:cs="Verdana"/>
        </w:rPr>
        <w:t xml:space="preserve">Próximo </w:t>
      </w:r>
      <w:r w:rsidR="00E727AB">
        <w:rPr>
          <w:rFonts w:ascii="Century Gothic" w:eastAsiaTheme="minorHAnsi" w:hAnsi="Century Gothic" w:cs="Verdana"/>
        </w:rPr>
        <w:t xml:space="preserve">reunião do COPOM será dia </w:t>
      </w:r>
      <w:r w:rsidR="00E727AB" w:rsidRPr="00E727AB">
        <w:rPr>
          <w:rFonts w:ascii="Century Gothic" w:eastAsiaTheme="minorHAnsi" w:hAnsi="Century Gothic" w:cs="Verdana"/>
        </w:rPr>
        <w:t>04 e 05 de</w:t>
      </w:r>
      <w:r w:rsidR="00E727AB">
        <w:rPr>
          <w:rFonts w:ascii="Century Gothic" w:eastAsiaTheme="minorHAnsi" w:hAnsi="Century Gothic" w:cs="Verdana"/>
        </w:rPr>
        <w:t xml:space="preserve"> </w:t>
      </w:r>
      <w:r w:rsidR="00E727AB" w:rsidRPr="00E727AB">
        <w:rPr>
          <w:rFonts w:ascii="Century Gothic" w:eastAsiaTheme="minorHAnsi" w:hAnsi="Century Gothic" w:cs="Verdana"/>
        </w:rPr>
        <w:t>fevereiro.</w:t>
      </w:r>
      <w:r w:rsidR="00E727AB">
        <w:rPr>
          <w:rFonts w:ascii="Century Gothic" w:eastAsiaTheme="minorHAnsi" w:hAnsi="Century Gothic" w:cs="Verdana"/>
        </w:rPr>
        <w:t xml:space="preserve"> O </w:t>
      </w:r>
      <w:r w:rsidR="00E727AB" w:rsidRPr="00E727AB">
        <w:rPr>
          <w:rFonts w:ascii="Century Gothic" w:eastAsiaTheme="minorHAnsi" w:hAnsi="Century Gothic" w:cs="Verdana"/>
        </w:rPr>
        <w:t xml:space="preserve">IPCA </w:t>
      </w:r>
      <w:r w:rsidR="00E727AB">
        <w:rPr>
          <w:rFonts w:ascii="Century Gothic" w:eastAsiaTheme="minorHAnsi" w:hAnsi="Century Gothic" w:cs="Verdana"/>
        </w:rPr>
        <w:t>projetado</w:t>
      </w:r>
      <w:r w:rsidR="00E727AB" w:rsidRPr="00E727AB">
        <w:rPr>
          <w:rFonts w:ascii="Century Gothic" w:eastAsiaTheme="minorHAnsi" w:hAnsi="Century Gothic" w:cs="Verdana"/>
        </w:rPr>
        <w:t xml:space="preserve"> </w:t>
      </w:r>
      <w:r w:rsidR="00E727AB">
        <w:rPr>
          <w:rFonts w:ascii="Century Gothic" w:eastAsiaTheme="minorHAnsi" w:hAnsi="Century Gothic" w:cs="Verdana"/>
        </w:rPr>
        <w:t xml:space="preserve">para janeiro é de 0,50% </w:t>
      </w:r>
      <w:r w:rsidR="00E727AB" w:rsidRPr="00E727AB">
        <w:rPr>
          <w:rFonts w:ascii="Century Gothic" w:eastAsiaTheme="minorHAnsi" w:hAnsi="Century Gothic" w:cs="Verdana"/>
        </w:rPr>
        <w:t>e 3,60% ao final de 2020</w:t>
      </w:r>
      <w:r w:rsidR="00E727AB">
        <w:rPr>
          <w:rFonts w:ascii="Century Gothic" w:eastAsiaTheme="minorHAnsi" w:hAnsi="Century Gothic" w:cs="Verdana"/>
        </w:rPr>
        <w:t>.</w:t>
      </w:r>
      <w:r>
        <w:rPr>
          <w:rFonts w:ascii="Century Gothic" w:eastAsiaTheme="minorHAnsi" w:hAnsi="Century Gothic" w:cs="Verdana"/>
        </w:rPr>
        <w:t xml:space="preserve"> </w:t>
      </w:r>
    </w:p>
    <w:p w:rsidR="00E727AB" w:rsidRDefault="00CA445D" w:rsidP="004A2E50">
      <w:pPr>
        <w:tabs>
          <w:tab w:val="left" w:pos="8364"/>
        </w:tabs>
        <w:autoSpaceDE w:val="0"/>
        <w:autoSpaceDN w:val="0"/>
        <w:adjustRightInd w:val="0"/>
        <w:rPr>
          <w:rFonts w:ascii="Century Gothic" w:eastAsiaTheme="minorHAnsi" w:hAnsi="Century Gothic" w:cs="Verdana"/>
        </w:rPr>
      </w:pPr>
      <w:r>
        <w:rPr>
          <w:rFonts w:ascii="Century Gothic" w:eastAsiaTheme="minorHAnsi" w:hAnsi="Century Gothic" w:cs="Verdana"/>
        </w:rPr>
        <w:t>Foi assinado no dia 15/</w:t>
      </w:r>
      <w:proofErr w:type="spellStart"/>
      <w:r>
        <w:rPr>
          <w:rFonts w:ascii="Century Gothic" w:eastAsiaTheme="minorHAnsi" w:hAnsi="Century Gothic" w:cs="Verdana"/>
        </w:rPr>
        <w:t>jan</w:t>
      </w:r>
      <w:proofErr w:type="spellEnd"/>
      <w:r>
        <w:rPr>
          <w:rFonts w:ascii="Century Gothic" w:eastAsiaTheme="minorHAnsi" w:hAnsi="Century Gothic" w:cs="Verdana"/>
        </w:rPr>
        <w:t xml:space="preserve"> </w:t>
      </w:r>
      <w:r w:rsidR="004A2E50" w:rsidRPr="004A2E50">
        <w:rPr>
          <w:rFonts w:ascii="Century Gothic" w:eastAsiaTheme="minorHAnsi" w:hAnsi="Century Gothic" w:cs="Verdana"/>
        </w:rPr>
        <w:t>o acor</w:t>
      </w:r>
      <w:r>
        <w:rPr>
          <w:rFonts w:ascii="Century Gothic" w:eastAsiaTheme="minorHAnsi" w:hAnsi="Century Gothic" w:cs="Verdana"/>
        </w:rPr>
        <w:t>do da 1ª fase</w:t>
      </w:r>
      <w:r w:rsidR="004A2E50" w:rsidRPr="004A2E50">
        <w:rPr>
          <w:rFonts w:ascii="Century Gothic" w:eastAsiaTheme="minorHAnsi" w:hAnsi="Century Gothic" w:cs="Verdana"/>
        </w:rPr>
        <w:t>, no</w:t>
      </w:r>
      <w:r w:rsidR="004A2E50">
        <w:rPr>
          <w:rFonts w:ascii="Century Gothic" w:eastAsiaTheme="minorHAnsi" w:hAnsi="Century Gothic" w:cs="Verdana"/>
        </w:rPr>
        <w:t xml:space="preserve"> </w:t>
      </w:r>
      <w:r w:rsidR="004A2E50" w:rsidRPr="004A2E50">
        <w:rPr>
          <w:rFonts w:ascii="Century Gothic" w:eastAsiaTheme="minorHAnsi" w:hAnsi="Century Gothic" w:cs="Verdana"/>
        </w:rPr>
        <w:t>âmbito do conflito comercial entre</w:t>
      </w:r>
      <w:r w:rsidR="004A2E50">
        <w:rPr>
          <w:rFonts w:ascii="Century Gothic" w:eastAsiaTheme="minorHAnsi" w:hAnsi="Century Gothic" w:cs="Verdana"/>
        </w:rPr>
        <w:t xml:space="preserve"> </w:t>
      </w:r>
      <w:r w:rsidR="004A2E50" w:rsidRPr="004A2E50">
        <w:rPr>
          <w:rFonts w:ascii="Century Gothic" w:eastAsiaTheme="minorHAnsi" w:hAnsi="Century Gothic" w:cs="Verdana"/>
        </w:rPr>
        <w:t>EUA e China sinaliza</w:t>
      </w:r>
      <w:r>
        <w:rPr>
          <w:rFonts w:ascii="Century Gothic" w:eastAsiaTheme="minorHAnsi" w:hAnsi="Century Gothic" w:cs="Verdana"/>
        </w:rPr>
        <w:t>ndo uma</w:t>
      </w:r>
      <w:r w:rsidR="004A2E50" w:rsidRPr="004A2E50">
        <w:rPr>
          <w:rFonts w:ascii="Century Gothic" w:eastAsiaTheme="minorHAnsi" w:hAnsi="Century Gothic" w:cs="Verdana"/>
        </w:rPr>
        <w:t xml:space="preserve"> possível trégua</w:t>
      </w:r>
      <w:r w:rsidR="004A2E50">
        <w:rPr>
          <w:rFonts w:ascii="Century Gothic" w:eastAsiaTheme="minorHAnsi" w:hAnsi="Century Gothic" w:cs="Verdana"/>
        </w:rPr>
        <w:t xml:space="preserve"> </w:t>
      </w:r>
      <w:r w:rsidR="004A2E50" w:rsidRPr="004A2E50">
        <w:rPr>
          <w:rFonts w:ascii="Century Gothic" w:eastAsiaTheme="minorHAnsi" w:hAnsi="Century Gothic" w:cs="Verdana"/>
        </w:rPr>
        <w:t>entre as duas economias.</w:t>
      </w:r>
      <w:r w:rsidR="004A2E50">
        <w:rPr>
          <w:rFonts w:ascii="Century Gothic" w:eastAsiaTheme="minorHAnsi" w:hAnsi="Century Gothic" w:cs="Verdana"/>
        </w:rPr>
        <w:t xml:space="preserve"> </w:t>
      </w:r>
      <w:r w:rsidR="004A2E50" w:rsidRPr="004A2E50">
        <w:rPr>
          <w:rFonts w:ascii="Century Gothic" w:eastAsiaTheme="minorHAnsi" w:hAnsi="Century Gothic" w:cs="Verdana"/>
        </w:rPr>
        <w:t>ZONA DO EURO</w:t>
      </w:r>
      <w:r w:rsidR="004A2E50">
        <w:rPr>
          <w:rFonts w:ascii="Century Gothic" w:eastAsiaTheme="minorHAnsi" w:hAnsi="Century Gothic" w:cs="Verdana"/>
        </w:rPr>
        <w:t xml:space="preserve"> </w:t>
      </w:r>
      <w:r w:rsidR="004A2E50" w:rsidRPr="004A2E50">
        <w:rPr>
          <w:rFonts w:ascii="Century Gothic" w:eastAsiaTheme="minorHAnsi" w:hAnsi="Century Gothic" w:cs="Verdana"/>
        </w:rPr>
        <w:t>A obtenção de ampla maioria pelo</w:t>
      </w:r>
      <w:r w:rsidR="004A2E50">
        <w:rPr>
          <w:rFonts w:ascii="Century Gothic" w:eastAsiaTheme="minorHAnsi" w:hAnsi="Century Gothic" w:cs="Verdana"/>
        </w:rPr>
        <w:t xml:space="preserve"> </w:t>
      </w:r>
      <w:r w:rsidR="004A2E50" w:rsidRPr="004A2E50">
        <w:rPr>
          <w:rFonts w:ascii="Century Gothic" w:eastAsiaTheme="minorHAnsi" w:hAnsi="Century Gothic" w:cs="Verdana"/>
        </w:rPr>
        <w:t>Partido Conservador nas eleições</w:t>
      </w:r>
      <w:r w:rsidR="004A2E50">
        <w:rPr>
          <w:rFonts w:ascii="Century Gothic" w:eastAsiaTheme="minorHAnsi" w:hAnsi="Century Gothic" w:cs="Verdana"/>
        </w:rPr>
        <w:t xml:space="preserve"> </w:t>
      </w:r>
      <w:r w:rsidR="004A2E50" w:rsidRPr="004A2E50">
        <w:rPr>
          <w:rFonts w:ascii="Century Gothic" w:eastAsiaTheme="minorHAnsi" w:hAnsi="Century Gothic" w:cs="Verdana"/>
        </w:rPr>
        <w:t>parlamentares no Reino Unido trouxe</w:t>
      </w:r>
      <w:r w:rsidR="004A2E50">
        <w:rPr>
          <w:rFonts w:ascii="Century Gothic" w:eastAsiaTheme="minorHAnsi" w:hAnsi="Century Gothic" w:cs="Verdana"/>
        </w:rPr>
        <w:t xml:space="preserve"> </w:t>
      </w:r>
      <w:r w:rsidR="004A2E50" w:rsidRPr="004A2E50">
        <w:rPr>
          <w:rFonts w:ascii="Century Gothic" w:eastAsiaTheme="minorHAnsi" w:hAnsi="Century Gothic" w:cs="Verdana"/>
        </w:rPr>
        <w:t>alívio aos mercados</w:t>
      </w:r>
      <w:r>
        <w:rPr>
          <w:rFonts w:ascii="Century Gothic" w:eastAsiaTheme="minorHAnsi" w:hAnsi="Century Gothic" w:cs="Verdana"/>
        </w:rPr>
        <w:t>.</w:t>
      </w:r>
    </w:p>
    <w:p w:rsidR="004A2E50" w:rsidRDefault="00CA445D" w:rsidP="004A2E50">
      <w:pPr>
        <w:tabs>
          <w:tab w:val="left" w:pos="8364"/>
        </w:tabs>
        <w:autoSpaceDE w:val="0"/>
        <w:autoSpaceDN w:val="0"/>
        <w:adjustRightInd w:val="0"/>
        <w:rPr>
          <w:rFonts w:ascii="Century Gothic" w:eastAsiaTheme="minorHAnsi" w:hAnsi="Century Gothic" w:cs="Verdana"/>
        </w:rPr>
      </w:pPr>
      <w:r w:rsidRPr="00CA445D">
        <w:rPr>
          <w:rFonts w:ascii="Century Gothic" w:eastAsiaTheme="minorHAnsi" w:hAnsi="Century Gothic" w:cs="Verdana"/>
        </w:rPr>
        <w:t>Apesar da volatilidade dos juros locais em dezembro, como</w:t>
      </w:r>
      <w:r w:rsidR="0016546B">
        <w:rPr>
          <w:rFonts w:ascii="Century Gothic" w:eastAsiaTheme="minorHAnsi" w:hAnsi="Century Gothic" w:cs="Verdana"/>
        </w:rPr>
        <w:t xml:space="preserve"> </w:t>
      </w:r>
      <w:r w:rsidRPr="00CA445D">
        <w:rPr>
          <w:rFonts w:ascii="Century Gothic" w:eastAsiaTheme="minorHAnsi" w:hAnsi="Century Gothic" w:cs="Verdana"/>
        </w:rPr>
        <w:t>houve fechamento das curvas, os índices de Renda Fixa voltaram</w:t>
      </w:r>
      <w:r w:rsidR="0016546B">
        <w:rPr>
          <w:rFonts w:ascii="Century Gothic" w:eastAsiaTheme="minorHAnsi" w:hAnsi="Century Gothic" w:cs="Verdana"/>
        </w:rPr>
        <w:t xml:space="preserve"> </w:t>
      </w:r>
      <w:r w:rsidRPr="00CA445D">
        <w:rPr>
          <w:rFonts w:ascii="Century Gothic" w:eastAsiaTheme="minorHAnsi" w:hAnsi="Century Gothic" w:cs="Verdana"/>
        </w:rPr>
        <w:t xml:space="preserve">a </w:t>
      </w:r>
      <w:proofErr w:type="spellStart"/>
      <w:r w:rsidRPr="00CA445D">
        <w:rPr>
          <w:rFonts w:ascii="Century Gothic" w:eastAsiaTheme="minorHAnsi" w:hAnsi="Century Gothic" w:cs="Verdana"/>
        </w:rPr>
        <w:t>performar</w:t>
      </w:r>
      <w:proofErr w:type="spellEnd"/>
      <w:r w:rsidRPr="00CA445D">
        <w:rPr>
          <w:rFonts w:ascii="Century Gothic" w:eastAsiaTheme="minorHAnsi" w:hAnsi="Century Gothic" w:cs="Verdana"/>
        </w:rPr>
        <w:t xml:space="preserve"> melhor que o CDI, com destaque para aqueles cujas</w:t>
      </w:r>
      <w:r w:rsidR="0016546B">
        <w:rPr>
          <w:rFonts w:ascii="Century Gothic" w:eastAsiaTheme="minorHAnsi" w:hAnsi="Century Gothic" w:cs="Verdana"/>
        </w:rPr>
        <w:t xml:space="preserve"> </w:t>
      </w:r>
      <w:r w:rsidRPr="00CA445D">
        <w:rPr>
          <w:rFonts w:ascii="Century Gothic" w:eastAsiaTheme="minorHAnsi" w:hAnsi="Century Gothic" w:cs="Verdana"/>
        </w:rPr>
        <w:t>composições contemplam papéis indexados à inflação, que</w:t>
      </w:r>
      <w:r w:rsidR="0016546B">
        <w:rPr>
          <w:rFonts w:ascii="Century Gothic" w:eastAsiaTheme="minorHAnsi" w:hAnsi="Century Gothic" w:cs="Verdana"/>
        </w:rPr>
        <w:t xml:space="preserve"> </w:t>
      </w:r>
      <w:r w:rsidRPr="00CA445D">
        <w:rPr>
          <w:rFonts w:ascii="Century Gothic" w:eastAsiaTheme="minorHAnsi" w:hAnsi="Century Gothic" w:cs="Verdana"/>
        </w:rPr>
        <w:t>contaram com um a</w:t>
      </w:r>
      <w:r w:rsidR="0016546B">
        <w:rPr>
          <w:rFonts w:ascii="Century Gothic" w:eastAsiaTheme="minorHAnsi" w:hAnsi="Century Gothic" w:cs="Verdana"/>
        </w:rPr>
        <w:t xml:space="preserve">lto carrego </w:t>
      </w:r>
      <w:r w:rsidR="00F7560E">
        <w:rPr>
          <w:rFonts w:ascii="Century Gothic" w:eastAsiaTheme="minorHAnsi" w:hAnsi="Century Gothic" w:cs="Verdana"/>
        </w:rPr>
        <w:t>do</w:t>
      </w:r>
      <w:r w:rsidR="0016546B">
        <w:rPr>
          <w:rFonts w:ascii="Century Gothic" w:eastAsiaTheme="minorHAnsi" w:hAnsi="Century Gothic" w:cs="Verdana"/>
        </w:rPr>
        <w:t xml:space="preserve"> IPCA</w:t>
      </w:r>
      <w:r w:rsidRPr="00CA445D">
        <w:rPr>
          <w:rFonts w:ascii="Century Gothic" w:eastAsiaTheme="minorHAnsi" w:hAnsi="Century Gothic" w:cs="Verdana"/>
        </w:rPr>
        <w:t xml:space="preserve">. </w:t>
      </w:r>
      <w:r w:rsidR="00005398">
        <w:rPr>
          <w:rFonts w:ascii="Century Gothic" w:eastAsiaTheme="minorHAnsi" w:hAnsi="Century Gothic" w:cs="Verdana"/>
        </w:rPr>
        <w:t>A</w:t>
      </w:r>
      <w:r w:rsidRPr="00CA445D">
        <w:rPr>
          <w:rFonts w:ascii="Century Gothic" w:eastAsiaTheme="minorHAnsi" w:hAnsi="Century Gothic" w:cs="Verdana"/>
        </w:rPr>
        <w:t>baixo o desempenho dos</w:t>
      </w:r>
      <w:r w:rsidR="0016546B">
        <w:rPr>
          <w:rFonts w:ascii="Century Gothic" w:eastAsiaTheme="minorHAnsi" w:hAnsi="Century Gothic" w:cs="Verdana"/>
        </w:rPr>
        <w:t xml:space="preserve"> </w:t>
      </w:r>
      <w:r w:rsidRPr="00CA445D">
        <w:rPr>
          <w:rFonts w:ascii="Century Gothic" w:eastAsiaTheme="minorHAnsi" w:hAnsi="Century Gothic" w:cs="Verdana"/>
        </w:rPr>
        <w:t>principais índices de renda fixa do mercado para o mês de</w:t>
      </w:r>
      <w:r w:rsidR="0016546B">
        <w:rPr>
          <w:rFonts w:ascii="Century Gothic" w:eastAsiaTheme="minorHAnsi" w:hAnsi="Century Gothic" w:cs="Verdana"/>
        </w:rPr>
        <w:t xml:space="preserve"> </w:t>
      </w:r>
      <w:r w:rsidRPr="00CA445D">
        <w:rPr>
          <w:rFonts w:ascii="Century Gothic" w:eastAsiaTheme="minorHAnsi" w:hAnsi="Century Gothic" w:cs="Verdana"/>
        </w:rPr>
        <w:t>dezembro: IMA-B 5+: 2,60%; IMA-B: 2,01%; IMA-B 5:</w:t>
      </w:r>
      <w:r w:rsidR="0016546B">
        <w:rPr>
          <w:rFonts w:ascii="Century Gothic" w:eastAsiaTheme="minorHAnsi" w:hAnsi="Century Gothic" w:cs="Verdana"/>
        </w:rPr>
        <w:t xml:space="preserve"> </w:t>
      </w:r>
      <w:r w:rsidRPr="00CA445D">
        <w:rPr>
          <w:rFonts w:ascii="Century Gothic" w:eastAsiaTheme="minorHAnsi" w:hAnsi="Century Gothic" w:cs="Verdana"/>
        </w:rPr>
        <w:t xml:space="preserve">1,24%; </w:t>
      </w:r>
      <w:proofErr w:type="spellStart"/>
      <w:r w:rsidRPr="00CA445D">
        <w:rPr>
          <w:rFonts w:ascii="Century Gothic" w:eastAsiaTheme="minorHAnsi" w:hAnsi="Century Gothic" w:cs="Verdana"/>
        </w:rPr>
        <w:t>IDkA</w:t>
      </w:r>
      <w:proofErr w:type="spellEnd"/>
      <w:r w:rsidRPr="00CA445D">
        <w:rPr>
          <w:rFonts w:ascii="Century Gothic" w:eastAsiaTheme="minorHAnsi" w:hAnsi="Century Gothic" w:cs="Verdana"/>
        </w:rPr>
        <w:t xml:space="preserve"> IPCA 2 A: 1,20%; IMA Geral </w:t>
      </w:r>
      <w:proofErr w:type="spellStart"/>
      <w:r w:rsidRPr="00CA445D">
        <w:rPr>
          <w:rFonts w:ascii="Century Gothic" w:eastAsiaTheme="minorHAnsi" w:hAnsi="Century Gothic" w:cs="Verdana"/>
        </w:rPr>
        <w:t>ex-C</w:t>
      </w:r>
      <w:proofErr w:type="spellEnd"/>
      <w:r w:rsidRPr="00CA445D">
        <w:rPr>
          <w:rFonts w:ascii="Century Gothic" w:eastAsiaTheme="minorHAnsi" w:hAnsi="Century Gothic" w:cs="Verdana"/>
        </w:rPr>
        <w:t>: 0,91%; IRFM</w:t>
      </w:r>
      <w:r w:rsidR="0016546B">
        <w:rPr>
          <w:rFonts w:ascii="Century Gothic" w:eastAsiaTheme="minorHAnsi" w:hAnsi="Century Gothic" w:cs="Verdana"/>
        </w:rPr>
        <w:t xml:space="preserve"> </w:t>
      </w:r>
      <w:r w:rsidRPr="00F7560E">
        <w:rPr>
          <w:rFonts w:ascii="Century Gothic" w:eastAsiaTheme="minorHAnsi" w:hAnsi="Century Gothic" w:cs="Verdana"/>
        </w:rPr>
        <w:t>1+: 0,72%; IRF-M:0,62%; IRF-M 1: 0,42%; CDI:</w:t>
      </w:r>
      <w:r w:rsidRPr="00CA445D">
        <w:rPr>
          <w:rFonts w:ascii="Century Gothic" w:eastAsiaTheme="minorHAnsi" w:hAnsi="Century Gothic" w:cs="Verdana"/>
        </w:rPr>
        <w:t>0,37%.</w:t>
      </w:r>
    </w:p>
    <w:p w:rsidR="001C5D92" w:rsidRPr="006028F8" w:rsidRDefault="008E3E74" w:rsidP="002E1943">
      <w:pPr>
        <w:tabs>
          <w:tab w:val="left" w:pos="8364"/>
        </w:tabs>
        <w:autoSpaceDE w:val="0"/>
        <w:autoSpaceDN w:val="0"/>
        <w:adjustRightInd w:val="0"/>
        <w:rPr>
          <w:rFonts w:ascii="Century Gothic" w:hAnsi="Century Gothic" w:cs="Arial"/>
        </w:rPr>
      </w:pPr>
      <w:r w:rsidRPr="006028F8">
        <w:rPr>
          <w:rFonts w:ascii="Century Gothic" w:hAnsi="Century Gothic"/>
        </w:rPr>
        <w:t>D</w:t>
      </w:r>
      <w:r w:rsidR="006028F8">
        <w:rPr>
          <w:rFonts w:ascii="Century Gothic" w:hAnsi="Century Gothic"/>
        </w:rPr>
        <w:t xml:space="preserve">iante das análises, o comitê não fará alterações na carteira </w:t>
      </w:r>
      <w:r w:rsidR="008A7CAD" w:rsidRPr="006028F8">
        <w:rPr>
          <w:rFonts w:ascii="Century Gothic" w:hAnsi="Century Gothic" w:cs="Arial"/>
        </w:rPr>
        <w:t>e as rece</w:t>
      </w:r>
      <w:r w:rsidR="002E1943" w:rsidRPr="006028F8">
        <w:rPr>
          <w:rFonts w:ascii="Century Gothic" w:hAnsi="Century Gothic" w:cs="Arial"/>
        </w:rPr>
        <w:t>itas de contribuições do mês,</w:t>
      </w:r>
      <w:r w:rsidR="004A3F6B" w:rsidRPr="006028F8">
        <w:rPr>
          <w:rFonts w:ascii="Century Gothic" w:hAnsi="Century Gothic" w:cs="Arial"/>
        </w:rPr>
        <w:t xml:space="preserve"> serão aplicados </w:t>
      </w:r>
      <w:r w:rsidR="00005398">
        <w:rPr>
          <w:rFonts w:ascii="Century Gothic" w:hAnsi="Century Gothic" w:cs="Arial"/>
        </w:rPr>
        <w:t>em F</w:t>
      </w:r>
      <w:r w:rsidR="006A0885" w:rsidRPr="006028F8">
        <w:rPr>
          <w:rFonts w:ascii="Century Gothic" w:hAnsi="Century Gothic" w:cs="Arial"/>
        </w:rPr>
        <w:t>undo</w:t>
      </w:r>
      <w:r w:rsidR="00005398">
        <w:rPr>
          <w:rFonts w:ascii="Century Gothic" w:hAnsi="Century Gothic" w:cs="Arial"/>
        </w:rPr>
        <w:t xml:space="preserve"> Ativo do </w:t>
      </w:r>
      <w:r w:rsidR="00005398" w:rsidRPr="00005398">
        <w:rPr>
          <w:rFonts w:ascii="Century Gothic" w:hAnsi="Century Gothic" w:cs="Arial"/>
          <w:b/>
        </w:rPr>
        <w:t>S</w:t>
      </w:r>
      <w:r w:rsidR="001C5587" w:rsidRPr="00005398">
        <w:rPr>
          <w:rFonts w:ascii="Century Gothic" w:hAnsi="Century Gothic" w:cs="Arial"/>
          <w:b/>
        </w:rPr>
        <w:t>AN</w:t>
      </w:r>
      <w:r w:rsidR="00005398">
        <w:rPr>
          <w:rFonts w:ascii="Century Gothic" w:hAnsi="Century Gothic" w:cs="Arial"/>
          <w:b/>
        </w:rPr>
        <w:t xml:space="preserve">TANDER, </w:t>
      </w:r>
      <w:r w:rsidR="006A0885" w:rsidRPr="006028F8">
        <w:rPr>
          <w:rFonts w:ascii="Century Gothic" w:hAnsi="Century Gothic" w:cs="Arial"/>
        </w:rPr>
        <w:t xml:space="preserve">sendo </w:t>
      </w:r>
      <w:r w:rsidR="00FE4175" w:rsidRPr="006028F8">
        <w:rPr>
          <w:rFonts w:ascii="Century Gothic" w:hAnsi="Century Gothic" w:cs="Arial"/>
        </w:rPr>
        <w:t xml:space="preserve">que </w:t>
      </w:r>
      <w:r w:rsidR="001C5D92" w:rsidRPr="006028F8">
        <w:rPr>
          <w:rFonts w:ascii="Century Gothic" w:hAnsi="Century Gothic"/>
          <w:shd w:val="clear" w:color="auto" w:fill="FFFFFF" w:themeFill="background1"/>
        </w:rPr>
        <w:t xml:space="preserve">os valores reservados </w:t>
      </w:r>
      <w:r w:rsidR="001C5D92" w:rsidRPr="006028F8">
        <w:rPr>
          <w:rFonts w:ascii="Century Gothic" w:eastAsiaTheme="minorHAnsi" w:hAnsi="Century Gothic" w:cs="BookmanOldStyle"/>
        </w:rPr>
        <w:t>para o fluxo de pagamentos</w:t>
      </w:r>
      <w:r w:rsidR="006A0885" w:rsidRPr="006028F8">
        <w:rPr>
          <w:rFonts w:ascii="Century Gothic" w:eastAsiaTheme="minorHAnsi" w:hAnsi="Century Gothic" w:cs="BookmanOldStyle"/>
        </w:rPr>
        <w:t xml:space="preserve"> </w:t>
      </w:r>
      <w:r w:rsidR="00FE4175" w:rsidRPr="006028F8">
        <w:rPr>
          <w:rFonts w:ascii="Century Gothic" w:eastAsiaTheme="minorHAnsi" w:hAnsi="Century Gothic" w:cs="BookmanOldStyle"/>
        </w:rPr>
        <w:t xml:space="preserve">serão aplicados em fundos </w:t>
      </w:r>
      <w:r w:rsidR="006A0885" w:rsidRPr="006028F8">
        <w:rPr>
          <w:rFonts w:ascii="Century Gothic" w:eastAsiaTheme="minorHAnsi" w:hAnsi="Century Gothic" w:cs="BookmanOldStyle"/>
        </w:rPr>
        <w:t>DI</w:t>
      </w:r>
      <w:r w:rsidR="00005398">
        <w:rPr>
          <w:rFonts w:ascii="Century Gothic" w:eastAsiaTheme="minorHAnsi" w:hAnsi="Century Gothic" w:cs="BookmanOldStyle"/>
        </w:rPr>
        <w:t xml:space="preserve"> do BB ou</w:t>
      </w:r>
      <w:r w:rsidR="008A7CAD" w:rsidRPr="006028F8">
        <w:rPr>
          <w:rFonts w:ascii="Century Gothic" w:eastAsiaTheme="minorHAnsi" w:hAnsi="Century Gothic" w:cs="BookmanOldStyle"/>
        </w:rPr>
        <w:t xml:space="preserve"> Caixa</w:t>
      </w:r>
      <w:r w:rsidR="006A0885" w:rsidRPr="006028F8">
        <w:rPr>
          <w:rFonts w:ascii="Century Gothic" w:eastAsiaTheme="minorHAnsi" w:hAnsi="Century Gothic" w:cs="BookmanOldStyle"/>
        </w:rPr>
        <w:t>.</w:t>
      </w:r>
      <w:r w:rsidR="001C5D92" w:rsidRPr="006028F8">
        <w:rPr>
          <w:rFonts w:ascii="Century Gothic" w:eastAsiaTheme="minorHAnsi" w:hAnsi="Century Gothic" w:cs="BookmanOldStyle"/>
        </w:rPr>
        <w:t xml:space="preserve"> </w:t>
      </w:r>
      <w:r w:rsidR="001C5D92" w:rsidRPr="006028F8">
        <w:rPr>
          <w:rFonts w:ascii="Century Gothic" w:hAnsi="Century Gothic" w:cs="Arial"/>
        </w:rPr>
        <w:t xml:space="preserve">Nada mais havendo a tratar, a reunião foi encerrada </w:t>
      </w:r>
      <w:r w:rsidR="002E1943" w:rsidRPr="006028F8">
        <w:rPr>
          <w:rFonts w:ascii="Century Gothic" w:hAnsi="Century Gothic" w:cs="Arial"/>
        </w:rPr>
        <w:t>à</w:t>
      </w:r>
      <w:r w:rsidR="001C5D92" w:rsidRPr="006028F8">
        <w:rPr>
          <w:rFonts w:ascii="Century Gothic" w:hAnsi="Century Gothic" w:cs="Arial"/>
        </w:rPr>
        <w:t xml:space="preserve">s </w:t>
      </w:r>
      <w:r w:rsidR="00860A2C">
        <w:rPr>
          <w:rFonts w:ascii="Century Gothic" w:hAnsi="Century Gothic" w:cs="Arial"/>
        </w:rPr>
        <w:t>09</w:t>
      </w:r>
      <w:r w:rsidR="001C5D92" w:rsidRPr="006028F8">
        <w:rPr>
          <w:rFonts w:ascii="Century Gothic" w:hAnsi="Century Gothic" w:cs="Arial"/>
        </w:rPr>
        <w:t>:</w:t>
      </w:r>
      <w:r w:rsidR="00860A2C">
        <w:rPr>
          <w:rFonts w:ascii="Century Gothic" w:hAnsi="Century Gothic" w:cs="Arial"/>
        </w:rPr>
        <w:t>1</w:t>
      </w:r>
      <w:bookmarkStart w:id="1" w:name="_GoBack"/>
      <w:bookmarkEnd w:id="1"/>
      <w:r w:rsidR="008A7CAD" w:rsidRPr="006028F8">
        <w:rPr>
          <w:rFonts w:ascii="Century Gothic" w:hAnsi="Century Gothic" w:cs="Arial"/>
        </w:rPr>
        <w:t>0</w:t>
      </w:r>
      <w:r w:rsidR="001C5D92" w:rsidRPr="006028F8">
        <w:rPr>
          <w:rFonts w:ascii="Century Gothic" w:hAnsi="Century Gothic" w:cs="Arial"/>
        </w:rPr>
        <w:t>hs, onde a ata foi lida, aprovada e assinada pelos integrantes do comitê</w:t>
      </w:r>
      <w:r w:rsidR="002E1943" w:rsidRPr="006028F8">
        <w:rPr>
          <w:rFonts w:ascii="Century Gothic" w:hAnsi="Century Gothic" w:cs="Arial"/>
        </w:rPr>
        <w:t xml:space="preserve"> presentes</w:t>
      </w:r>
      <w:r w:rsidR="004A3F6B" w:rsidRPr="006028F8">
        <w:rPr>
          <w:rFonts w:ascii="Century Gothic" w:hAnsi="Century Gothic" w:cs="Arial"/>
        </w:rPr>
        <w:t xml:space="preserve"> à reunião</w:t>
      </w:r>
      <w:r w:rsidR="001C5D92" w:rsidRPr="006028F8">
        <w:rPr>
          <w:rFonts w:ascii="Century Gothic" w:hAnsi="Century Gothic" w:cs="Arial"/>
        </w:rPr>
        <w:t>.</w:t>
      </w:r>
    </w:p>
    <w:p w:rsidR="001C5D92" w:rsidRPr="006028F8" w:rsidRDefault="001C5D92" w:rsidP="00315831">
      <w:pPr>
        <w:ind w:left="-284" w:right="-427"/>
        <w:rPr>
          <w:rFonts w:ascii="Century Gothic" w:hAnsi="Century Gothic" w:cs="Arial"/>
          <w:i/>
        </w:rPr>
      </w:pPr>
    </w:p>
    <w:bookmarkEnd w:id="0"/>
    <w:p w:rsidR="00FA500B" w:rsidRPr="00F14B85" w:rsidRDefault="00FA500B" w:rsidP="00315831">
      <w:pPr>
        <w:ind w:left="-284" w:right="-427"/>
        <w:rPr>
          <w:rFonts w:ascii="Century Gothic" w:hAnsi="Century Gothic" w:cs="Arial"/>
          <w:i/>
          <w:color w:val="FF0000"/>
        </w:rPr>
      </w:pPr>
    </w:p>
    <w:p w:rsidR="00FA500B" w:rsidRPr="00F14B85" w:rsidRDefault="00FA500B" w:rsidP="00315831">
      <w:pPr>
        <w:ind w:left="-284" w:right="-427"/>
        <w:rPr>
          <w:rFonts w:ascii="Century Gothic" w:hAnsi="Century Gothic" w:cs="Arial"/>
          <w:i/>
          <w:color w:val="FF0000"/>
        </w:rPr>
      </w:pPr>
    </w:p>
    <w:p w:rsidR="00106EB7" w:rsidRPr="0050175C" w:rsidRDefault="00005398" w:rsidP="00315831">
      <w:pPr>
        <w:ind w:left="-284" w:right="-427"/>
        <w:rPr>
          <w:rFonts w:ascii="Century Gothic" w:hAnsi="Century Gothic" w:cs="Arial"/>
        </w:rPr>
      </w:pPr>
      <w:r>
        <w:rPr>
          <w:rFonts w:ascii="Century Gothic" w:hAnsi="Century Gothic" w:cs="Arial"/>
          <w:i/>
          <w:sz w:val="24"/>
          <w:szCs w:val="24"/>
        </w:rPr>
        <w:t xml:space="preserve">   </w:t>
      </w:r>
      <w:r w:rsidR="00B83FC5">
        <w:rPr>
          <w:rFonts w:ascii="Century Gothic" w:hAnsi="Century Gothic" w:cs="Arial"/>
          <w:i/>
          <w:sz w:val="24"/>
          <w:szCs w:val="24"/>
        </w:rPr>
        <w:t xml:space="preserve"> </w:t>
      </w:r>
      <w:r>
        <w:rPr>
          <w:rFonts w:ascii="Century Gothic" w:hAnsi="Century Gothic" w:cs="Arial"/>
          <w:i/>
          <w:sz w:val="24"/>
          <w:szCs w:val="24"/>
        </w:rPr>
        <w:t xml:space="preserve">Adauto C. Mariola                 </w:t>
      </w:r>
      <w:r w:rsidR="00B83FC5">
        <w:rPr>
          <w:rFonts w:ascii="Century Gothic" w:hAnsi="Century Gothic" w:cs="Arial"/>
          <w:i/>
          <w:sz w:val="24"/>
          <w:szCs w:val="24"/>
        </w:rPr>
        <w:t xml:space="preserve"> </w:t>
      </w:r>
      <w:r w:rsidR="001B5A68" w:rsidRPr="009F3FAD">
        <w:rPr>
          <w:rFonts w:ascii="Century Gothic" w:hAnsi="Century Gothic" w:cs="Arial"/>
          <w:i/>
          <w:sz w:val="24"/>
          <w:szCs w:val="24"/>
        </w:rPr>
        <w:t>João B. André</w:t>
      </w:r>
      <w:r w:rsidR="001B5A68">
        <w:rPr>
          <w:rFonts w:ascii="Century Gothic" w:hAnsi="Century Gothic" w:cs="Arial"/>
          <w:i/>
          <w:sz w:val="24"/>
          <w:szCs w:val="24"/>
        </w:rPr>
        <w:t xml:space="preserve">  </w:t>
      </w:r>
      <w:r w:rsidR="00FA500B">
        <w:rPr>
          <w:rFonts w:ascii="Century Gothic" w:hAnsi="Century Gothic" w:cs="Arial"/>
          <w:i/>
          <w:sz w:val="24"/>
          <w:szCs w:val="24"/>
        </w:rPr>
        <w:t xml:space="preserve">  </w:t>
      </w:r>
      <w:r w:rsidR="00B83FC5">
        <w:rPr>
          <w:rFonts w:ascii="Century Gothic" w:hAnsi="Century Gothic" w:cs="Arial"/>
          <w:i/>
          <w:sz w:val="24"/>
          <w:szCs w:val="24"/>
        </w:rPr>
        <w:t xml:space="preserve">   </w:t>
      </w:r>
      <w:r>
        <w:rPr>
          <w:rFonts w:ascii="Century Gothic" w:hAnsi="Century Gothic" w:cs="Arial"/>
          <w:i/>
          <w:sz w:val="24"/>
          <w:szCs w:val="24"/>
        </w:rPr>
        <w:t xml:space="preserve">         </w:t>
      </w:r>
      <w:r w:rsidR="00B83FC5">
        <w:rPr>
          <w:rFonts w:ascii="Century Gothic" w:hAnsi="Century Gothic" w:cs="Arial"/>
          <w:i/>
          <w:sz w:val="24"/>
          <w:szCs w:val="24"/>
        </w:rPr>
        <w:t xml:space="preserve">    </w:t>
      </w:r>
      <w:r w:rsidR="001B5A68" w:rsidRPr="004E6E8B">
        <w:rPr>
          <w:rFonts w:ascii="Century Gothic" w:hAnsi="Century Gothic" w:cs="Arial"/>
          <w:sz w:val="24"/>
          <w:szCs w:val="24"/>
        </w:rPr>
        <w:t>Alexandre V. Lima</w:t>
      </w:r>
    </w:p>
    <w:sectPr w:rsidR="00106EB7" w:rsidRPr="0050175C" w:rsidSect="00FB1994">
      <w:headerReference w:type="default" r:id="rId8"/>
      <w:footerReference w:type="default" r:id="rId9"/>
      <w:pgSz w:w="11906" w:h="16838"/>
      <w:pgMar w:top="1417" w:right="1416" w:bottom="1417" w:left="1701"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79D6" w:rsidRDefault="000F79D6" w:rsidP="009375C4">
      <w:pPr>
        <w:spacing w:line="240" w:lineRule="auto"/>
      </w:pPr>
      <w:r>
        <w:separator/>
      </w:r>
    </w:p>
  </w:endnote>
  <w:endnote w:type="continuationSeparator" w:id="0">
    <w:p w:rsidR="000F79D6" w:rsidRDefault="000F79D6" w:rsidP="009375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Verdana">
    <w:altName w:val="Verdana"/>
    <w:panose1 w:val="020B0604030504040204"/>
    <w:charset w:val="00"/>
    <w:family w:val="swiss"/>
    <w:pitch w:val="variable"/>
    <w:sig w:usb0="A10006FF" w:usb1="4000205B" w:usb2="00000010" w:usb3="00000000" w:csb0="0000019F" w:csb1="00000000"/>
  </w:font>
  <w:font w:name="BookmanOldStyle">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9D6" w:rsidRPr="00AE0606" w:rsidRDefault="000F79D6" w:rsidP="00AE0606">
    <w:pPr>
      <w:pStyle w:val="Rodap"/>
      <w:jc w:val="center"/>
      <w:rPr>
        <w:rFonts w:ascii="Verdana" w:hAnsi="Verdana"/>
        <w:b/>
        <w:sz w:val="24"/>
        <w:szCs w:val="24"/>
      </w:rPr>
    </w:pPr>
    <w:r w:rsidRPr="00AE0606">
      <w:rPr>
        <w:rFonts w:ascii="Verdana" w:hAnsi="Verdana"/>
        <w:b/>
        <w:sz w:val="24"/>
        <w:szCs w:val="24"/>
      </w:rPr>
      <w:t>Instituto de Previdência do Município de Votuporanga</w:t>
    </w:r>
  </w:p>
  <w:p w:rsidR="000F79D6" w:rsidRPr="00AE0606" w:rsidRDefault="000F79D6" w:rsidP="003A10B8">
    <w:pPr>
      <w:pStyle w:val="Rodap"/>
      <w:jc w:val="center"/>
      <w:rPr>
        <w:rFonts w:ascii="Verdana" w:hAnsi="Verdana" w:cstheme="minorHAnsi"/>
        <w:sz w:val="16"/>
        <w:szCs w:val="16"/>
      </w:rPr>
    </w:pPr>
    <w:r w:rsidRPr="00AE0606">
      <w:rPr>
        <w:rFonts w:ascii="Verdana" w:hAnsi="Verdana" w:cstheme="minorHAnsi"/>
        <w:sz w:val="16"/>
        <w:szCs w:val="16"/>
      </w:rPr>
      <w:t>Rua São Paulo, 3834 – Centro - Votuporanga/SP – CEP 15.500-010 - Fone: (17) 3421-6058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79D6" w:rsidRDefault="000F79D6" w:rsidP="009375C4">
      <w:pPr>
        <w:spacing w:line="240" w:lineRule="auto"/>
      </w:pPr>
      <w:r>
        <w:separator/>
      </w:r>
    </w:p>
  </w:footnote>
  <w:footnote w:type="continuationSeparator" w:id="0">
    <w:p w:rsidR="000F79D6" w:rsidRDefault="000F79D6" w:rsidP="009375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9D6" w:rsidRDefault="000F79D6" w:rsidP="004853BC">
    <w:pPr>
      <w:pStyle w:val="Cabealho"/>
      <w:tabs>
        <w:tab w:val="clear" w:pos="4252"/>
        <w:tab w:val="clear" w:pos="8504"/>
        <w:tab w:val="left" w:pos="1725"/>
      </w:tabs>
      <w:ind w:left="-284"/>
    </w:pPr>
    <w:r>
      <w:rPr>
        <w:noProof/>
        <w:lang w:eastAsia="pt-BR"/>
      </w:rPr>
      <w:drawing>
        <wp:anchor distT="0" distB="0" distL="114300" distR="114300" simplePos="0" relativeHeight="251659264" behindDoc="0" locked="0" layoutInCell="1" allowOverlap="1">
          <wp:simplePos x="0" y="0"/>
          <wp:positionH relativeFrom="column">
            <wp:posOffset>4358640</wp:posOffset>
          </wp:positionH>
          <wp:positionV relativeFrom="paragraph">
            <wp:posOffset>-236220</wp:posOffset>
          </wp:positionV>
          <wp:extent cx="1895475" cy="647700"/>
          <wp:effectExtent l="0" t="0" r="9525" b="0"/>
          <wp:wrapSquare wrapText="bothSides"/>
          <wp:docPr id="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são_horizontal.png"/>
                  <pic:cNvPicPr/>
                </pic:nvPicPr>
                <pic:blipFill rotWithShape="1">
                  <a:blip r:embed="rId1" cstate="print">
                    <a:extLst>
                      <a:ext uri="{28A0092B-C50C-407E-A947-70E740481C1C}">
                        <a14:useLocalDpi xmlns:a14="http://schemas.microsoft.com/office/drawing/2010/main" val="0"/>
                      </a:ext>
                    </a:extLst>
                  </a:blip>
                  <a:srcRect l="10371" t="15626" r="9071" b="18749"/>
                  <a:stretch/>
                </pic:blipFill>
                <pic:spPr bwMode="auto">
                  <a:xfrm>
                    <a:off x="0" y="0"/>
                    <a:ext cx="1895475" cy="64770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pt-BR"/>
      </w:rPr>
      <w:drawing>
        <wp:anchor distT="0" distB="0" distL="114300" distR="114300" simplePos="0" relativeHeight="251660288" behindDoc="0" locked="0" layoutInCell="1" allowOverlap="1">
          <wp:simplePos x="0" y="0"/>
          <wp:positionH relativeFrom="column">
            <wp:posOffset>-1070610</wp:posOffset>
          </wp:positionH>
          <wp:positionV relativeFrom="paragraph">
            <wp:posOffset>-436245</wp:posOffset>
          </wp:positionV>
          <wp:extent cx="2333625" cy="771525"/>
          <wp:effectExtent l="19050" t="0" r="9525" b="0"/>
          <wp:wrapTopAndBottom/>
          <wp:docPr id="6" name="Imagem 6" descr="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jpg"/>
                  <pic:cNvPicPr/>
                </pic:nvPicPr>
                <pic:blipFill>
                  <a:blip r:embed="rId2"/>
                  <a:stretch>
                    <a:fillRect/>
                  </a:stretch>
                </pic:blipFill>
                <pic:spPr>
                  <a:xfrm>
                    <a:off x="0" y="0"/>
                    <a:ext cx="2333625" cy="771525"/>
                  </a:xfrm>
                  <a:prstGeom prst="rect">
                    <a:avLst/>
                  </a:prstGeom>
                </pic:spPr>
              </pic:pic>
            </a:graphicData>
          </a:graphic>
        </wp:anchor>
      </w:drawing>
    </w: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7002D"/>
    <w:multiLevelType w:val="hybridMultilevel"/>
    <w:tmpl w:val="B864554C"/>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6DF23A7"/>
    <w:multiLevelType w:val="hybridMultilevel"/>
    <w:tmpl w:val="5746B2F4"/>
    <w:lvl w:ilvl="0" w:tplc="2AA2FD8A">
      <w:start w:val="1"/>
      <w:numFmt w:val="upperRoman"/>
      <w:lvlText w:val="%1-"/>
      <w:lvlJc w:val="left"/>
      <w:pPr>
        <w:ind w:left="3405" w:hanging="720"/>
      </w:pPr>
      <w:rPr>
        <w:rFonts w:hint="default"/>
      </w:rPr>
    </w:lvl>
    <w:lvl w:ilvl="1" w:tplc="04160019" w:tentative="1">
      <w:start w:val="1"/>
      <w:numFmt w:val="lowerLetter"/>
      <w:lvlText w:val="%2."/>
      <w:lvlJc w:val="left"/>
      <w:pPr>
        <w:ind w:left="3765" w:hanging="360"/>
      </w:pPr>
    </w:lvl>
    <w:lvl w:ilvl="2" w:tplc="0416001B" w:tentative="1">
      <w:start w:val="1"/>
      <w:numFmt w:val="lowerRoman"/>
      <w:lvlText w:val="%3."/>
      <w:lvlJc w:val="right"/>
      <w:pPr>
        <w:ind w:left="4485" w:hanging="180"/>
      </w:pPr>
    </w:lvl>
    <w:lvl w:ilvl="3" w:tplc="0416000F" w:tentative="1">
      <w:start w:val="1"/>
      <w:numFmt w:val="decimal"/>
      <w:lvlText w:val="%4."/>
      <w:lvlJc w:val="left"/>
      <w:pPr>
        <w:ind w:left="5205" w:hanging="360"/>
      </w:pPr>
    </w:lvl>
    <w:lvl w:ilvl="4" w:tplc="04160019" w:tentative="1">
      <w:start w:val="1"/>
      <w:numFmt w:val="lowerLetter"/>
      <w:lvlText w:val="%5."/>
      <w:lvlJc w:val="left"/>
      <w:pPr>
        <w:ind w:left="5925" w:hanging="360"/>
      </w:pPr>
    </w:lvl>
    <w:lvl w:ilvl="5" w:tplc="0416001B" w:tentative="1">
      <w:start w:val="1"/>
      <w:numFmt w:val="lowerRoman"/>
      <w:lvlText w:val="%6."/>
      <w:lvlJc w:val="right"/>
      <w:pPr>
        <w:ind w:left="6645" w:hanging="180"/>
      </w:pPr>
    </w:lvl>
    <w:lvl w:ilvl="6" w:tplc="0416000F" w:tentative="1">
      <w:start w:val="1"/>
      <w:numFmt w:val="decimal"/>
      <w:lvlText w:val="%7."/>
      <w:lvlJc w:val="left"/>
      <w:pPr>
        <w:ind w:left="7365" w:hanging="360"/>
      </w:pPr>
    </w:lvl>
    <w:lvl w:ilvl="7" w:tplc="04160019" w:tentative="1">
      <w:start w:val="1"/>
      <w:numFmt w:val="lowerLetter"/>
      <w:lvlText w:val="%8."/>
      <w:lvlJc w:val="left"/>
      <w:pPr>
        <w:ind w:left="8085" w:hanging="360"/>
      </w:pPr>
    </w:lvl>
    <w:lvl w:ilvl="8" w:tplc="0416001B" w:tentative="1">
      <w:start w:val="1"/>
      <w:numFmt w:val="lowerRoman"/>
      <w:lvlText w:val="%9."/>
      <w:lvlJc w:val="right"/>
      <w:pPr>
        <w:ind w:left="8805" w:hanging="180"/>
      </w:pPr>
    </w:lvl>
  </w:abstractNum>
  <w:abstractNum w:abstractNumId="2" w15:restartNumberingAfterBreak="0">
    <w:nsid w:val="23621587"/>
    <w:multiLevelType w:val="hybridMultilevel"/>
    <w:tmpl w:val="7C00B312"/>
    <w:lvl w:ilvl="0" w:tplc="8E5CCB8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3" w15:restartNumberingAfterBreak="0">
    <w:nsid w:val="2A5B154D"/>
    <w:multiLevelType w:val="hybridMultilevel"/>
    <w:tmpl w:val="C97EA250"/>
    <w:lvl w:ilvl="0" w:tplc="90324F40">
      <w:numFmt w:val="bullet"/>
      <w:lvlText w:val=""/>
      <w:lvlJc w:val="left"/>
      <w:pPr>
        <w:ind w:left="405" w:hanging="360"/>
      </w:pPr>
      <w:rPr>
        <w:rFonts w:ascii="Symbol" w:eastAsiaTheme="minorHAnsi" w:hAnsi="Symbol" w:cs="Arial" w:hint="default"/>
        <w:sz w:val="24"/>
      </w:rPr>
    </w:lvl>
    <w:lvl w:ilvl="1" w:tplc="04160003" w:tentative="1">
      <w:start w:val="1"/>
      <w:numFmt w:val="bullet"/>
      <w:lvlText w:val="o"/>
      <w:lvlJc w:val="left"/>
      <w:pPr>
        <w:ind w:left="1125" w:hanging="360"/>
      </w:pPr>
      <w:rPr>
        <w:rFonts w:ascii="Courier New" w:hAnsi="Courier New" w:cs="Courier New" w:hint="default"/>
      </w:rPr>
    </w:lvl>
    <w:lvl w:ilvl="2" w:tplc="04160005" w:tentative="1">
      <w:start w:val="1"/>
      <w:numFmt w:val="bullet"/>
      <w:lvlText w:val=""/>
      <w:lvlJc w:val="left"/>
      <w:pPr>
        <w:ind w:left="1845" w:hanging="360"/>
      </w:pPr>
      <w:rPr>
        <w:rFonts w:ascii="Wingdings" w:hAnsi="Wingdings" w:hint="default"/>
      </w:rPr>
    </w:lvl>
    <w:lvl w:ilvl="3" w:tplc="04160001" w:tentative="1">
      <w:start w:val="1"/>
      <w:numFmt w:val="bullet"/>
      <w:lvlText w:val=""/>
      <w:lvlJc w:val="left"/>
      <w:pPr>
        <w:ind w:left="2565" w:hanging="360"/>
      </w:pPr>
      <w:rPr>
        <w:rFonts w:ascii="Symbol" w:hAnsi="Symbol" w:hint="default"/>
      </w:rPr>
    </w:lvl>
    <w:lvl w:ilvl="4" w:tplc="04160003" w:tentative="1">
      <w:start w:val="1"/>
      <w:numFmt w:val="bullet"/>
      <w:lvlText w:val="o"/>
      <w:lvlJc w:val="left"/>
      <w:pPr>
        <w:ind w:left="3285" w:hanging="360"/>
      </w:pPr>
      <w:rPr>
        <w:rFonts w:ascii="Courier New" w:hAnsi="Courier New" w:cs="Courier New" w:hint="default"/>
      </w:rPr>
    </w:lvl>
    <w:lvl w:ilvl="5" w:tplc="04160005" w:tentative="1">
      <w:start w:val="1"/>
      <w:numFmt w:val="bullet"/>
      <w:lvlText w:val=""/>
      <w:lvlJc w:val="left"/>
      <w:pPr>
        <w:ind w:left="4005" w:hanging="360"/>
      </w:pPr>
      <w:rPr>
        <w:rFonts w:ascii="Wingdings" w:hAnsi="Wingdings" w:hint="default"/>
      </w:rPr>
    </w:lvl>
    <w:lvl w:ilvl="6" w:tplc="04160001" w:tentative="1">
      <w:start w:val="1"/>
      <w:numFmt w:val="bullet"/>
      <w:lvlText w:val=""/>
      <w:lvlJc w:val="left"/>
      <w:pPr>
        <w:ind w:left="4725" w:hanging="360"/>
      </w:pPr>
      <w:rPr>
        <w:rFonts w:ascii="Symbol" w:hAnsi="Symbol" w:hint="default"/>
      </w:rPr>
    </w:lvl>
    <w:lvl w:ilvl="7" w:tplc="04160003" w:tentative="1">
      <w:start w:val="1"/>
      <w:numFmt w:val="bullet"/>
      <w:lvlText w:val="o"/>
      <w:lvlJc w:val="left"/>
      <w:pPr>
        <w:ind w:left="5445" w:hanging="360"/>
      </w:pPr>
      <w:rPr>
        <w:rFonts w:ascii="Courier New" w:hAnsi="Courier New" w:cs="Courier New" w:hint="default"/>
      </w:rPr>
    </w:lvl>
    <w:lvl w:ilvl="8" w:tplc="04160005" w:tentative="1">
      <w:start w:val="1"/>
      <w:numFmt w:val="bullet"/>
      <w:lvlText w:val=""/>
      <w:lvlJc w:val="left"/>
      <w:pPr>
        <w:ind w:left="6165" w:hanging="360"/>
      </w:pPr>
      <w:rPr>
        <w:rFonts w:ascii="Wingdings" w:hAnsi="Wingdings" w:hint="default"/>
      </w:rPr>
    </w:lvl>
  </w:abstractNum>
  <w:abstractNum w:abstractNumId="4" w15:restartNumberingAfterBreak="0">
    <w:nsid w:val="3E7A12BA"/>
    <w:multiLevelType w:val="hybridMultilevel"/>
    <w:tmpl w:val="5900B7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45102CD3"/>
    <w:multiLevelType w:val="multilevel"/>
    <w:tmpl w:val="EEF6EB10"/>
    <w:lvl w:ilvl="0">
      <w:start w:val="1"/>
      <w:numFmt w:val="decimal"/>
      <w:lvlText w:val="%1."/>
      <w:lvlJc w:val="left"/>
      <w:pPr>
        <w:ind w:left="360" w:hanging="360"/>
      </w:pPr>
      <w:rPr>
        <w:color w:val="000000" w:themeColor="text1"/>
      </w:rPr>
    </w:lvl>
    <w:lvl w:ilvl="1">
      <w:start w:val="1"/>
      <w:numFmt w:val="decimal"/>
      <w:lvlText w:val="%2."/>
      <w:lvlJc w:val="left"/>
      <w:pPr>
        <w:ind w:left="360" w:hanging="360"/>
      </w:pPr>
      <w:rPr>
        <w:b/>
        <w:color w:val="auto"/>
        <w:sz w:val="22"/>
        <w:szCs w:val="22"/>
      </w:rPr>
    </w:lvl>
    <w:lvl w:ilvl="2">
      <w:start w:val="1"/>
      <w:numFmt w:val="decimal"/>
      <w:lvlText w:val="%1.%2.%3."/>
      <w:lvlJc w:val="left"/>
      <w:pPr>
        <w:ind w:left="1080" w:hanging="360"/>
      </w:pPr>
    </w:lvl>
    <w:lvl w:ilvl="3">
      <w:start w:val="1"/>
      <w:numFmt w:val="decimal"/>
      <w:lvlText w:val="%1.%2.%3.%4."/>
      <w:lvlJc w:val="left"/>
      <w:pPr>
        <w:ind w:left="1440" w:hanging="360"/>
      </w:pPr>
    </w:lvl>
    <w:lvl w:ilvl="4">
      <w:start w:val="1"/>
      <w:numFmt w:val="decimal"/>
      <w:lvlText w:val="%1.%2.%3.%4.%5."/>
      <w:lvlJc w:val="left"/>
      <w:pPr>
        <w:ind w:left="1800" w:hanging="360"/>
      </w:pPr>
    </w:lvl>
    <w:lvl w:ilvl="5">
      <w:start w:val="1"/>
      <w:numFmt w:val="decimal"/>
      <w:lvlText w:val="%1.%2.%3.%4.%5.%6."/>
      <w:lvlJc w:val="left"/>
      <w:pPr>
        <w:ind w:left="2160" w:hanging="360"/>
      </w:pPr>
    </w:lvl>
    <w:lvl w:ilvl="6">
      <w:start w:val="1"/>
      <w:numFmt w:val="decimal"/>
      <w:lvlText w:val="%1.%2.%3.%4.%5.%6.%7."/>
      <w:lvlJc w:val="left"/>
      <w:pPr>
        <w:ind w:left="2520" w:hanging="360"/>
      </w:pPr>
    </w:lvl>
    <w:lvl w:ilvl="7">
      <w:start w:val="1"/>
      <w:numFmt w:val="decimal"/>
      <w:lvlText w:val="%1.%2.%3.%4.%5.%6.%7.%8."/>
      <w:lvlJc w:val="left"/>
      <w:pPr>
        <w:ind w:left="2880" w:hanging="360"/>
      </w:pPr>
    </w:lvl>
    <w:lvl w:ilvl="8">
      <w:start w:val="1"/>
      <w:numFmt w:val="decimal"/>
      <w:lvlText w:val="%1.%2.%3.%4.%5.%6.%7.%8.%9."/>
      <w:lvlJc w:val="left"/>
      <w:pPr>
        <w:ind w:left="3240" w:hanging="360"/>
      </w:pPr>
    </w:lvl>
  </w:abstractNum>
  <w:abstractNum w:abstractNumId="6" w15:restartNumberingAfterBreak="0">
    <w:nsid w:val="45E826C3"/>
    <w:multiLevelType w:val="hybridMultilevel"/>
    <w:tmpl w:val="9E383E8E"/>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7" w15:restartNumberingAfterBreak="0">
    <w:nsid w:val="4A862FE9"/>
    <w:multiLevelType w:val="hybridMultilevel"/>
    <w:tmpl w:val="1F24F9EC"/>
    <w:lvl w:ilvl="0" w:tplc="0658CCB6">
      <w:start w:val="1"/>
      <w:numFmt w:val="decimal"/>
      <w:lvlText w:val="%1)"/>
      <w:lvlJc w:val="left"/>
      <w:pPr>
        <w:ind w:left="360" w:hanging="360"/>
      </w:pPr>
      <w:rPr>
        <w:rFonts w:eastAsia="Calibri" w:cs="Times New Roman" w:hint="default"/>
        <w:b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0A17724"/>
    <w:multiLevelType w:val="hybridMultilevel"/>
    <w:tmpl w:val="9D6223EA"/>
    <w:lvl w:ilvl="0" w:tplc="C61A6184">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9" w15:restartNumberingAfterBreak="0">
    <w:nsid w:val="53400BEB"/>
    <w:multiLevelType w:val="hybridMultilevel"/>
    <w:tmpl w:val="9ACACD98"/>
    <w:lvl w:ilvl="0" w:tplc="AE568F0E">
      <w:start w:val="1"/>
      <w:numFmt w:val="upperRoman"/>
      <w:lvlText w:val="%1-"/>
      <w:lvlJc w:val="left"/>
      <w:pPr>
        <w:ind w:left="2130" w:hanging="720"/>
      </w:pPr>
      <w:rPr>
        <w:rFonts w:hint="default"/>
      </w:rPr>
    </w:lvl>
    <w:lvl w:ilvl="1" w:tplc="04160019" w:tentative="1">
      <w:start w:val="1"/>
      <w:numFmt w:val="lowerLetter"/>
      <w:lvlText w:val="%2."/>
      <w:lvlJc w:val="left"/>
      <w:pPr>
        <w:ind w:left="2490" w:hanging="360"/>
      </w:pPr>
    </w:lvl>
    <w:lvl w:ilvl="2" w:tplc="0416001B" w:tentative="1">
      <w:start w:val="1"/>
      <w:numFmt w:val="lowerRoman"/>
      <w:lvlText w:val="%3."/>
      <w:lvlJc w:val="right"/>
      <w:pPr>
        <w:ind w:left="3210" w:hanging="180"/>
      </w:pPr>
    </w:lvl>
    <w:lvl w:ilvl="3" w:tplc="0416000F" w:tentative="1">
      <w:start w:val="1"/>
      <w:numFmt w:val="decimal"/>
      <w:lvlText w:val="%4."/>
      <w:lvlJc w:val="left"/>
      <w:pPr>
        <w:ind w:left="3930" w:hanging="360"/>
      </w:pPr>
    </w:lvl>
    <w:lvl w:ilvl="4" w:tplc="04160019" w:tentative="1">
      <w:start w:val="1"/>
      <w:numFmt w:val="lowerLetter"/>
      <w:lvlText w:val="%5."/>
      <w:lvlJc w:val="left"/>
      <w:pPr>
        <w:ind w:left="4650" w:hanging="360"/>
      </w:pPr>
    </w:lvl>
    <w:lvl w:ilvl="5" w:tplc="0416001B" w:tentative="1">
      <w:start w:val="1"/>
      <w:numFmt w:val="lowerRoman"/>
      <w:lvlText w:val="%6."/>
      <w:lvlJc w:val="right"/>
      <w:pPr>
        <w:ind w:left="5370" w:hanging="180"/>
      </w:pPr>
    </w:lvl>
    <w:lvl w:ilvl="6" w:tplc="0416000F" w:tentative="1">
      <w:start w:val="1"/>
      <w:numFmt w:val="decimal"/>
      <w:lvlText w:val="%7."/>
      <w:lvlJc w:val="left"/>
      <w:pPr>
        <w:ind w:left="6090" w:hanging="360"/>
      </w:pPr>
    </w:lvl>
    <w:lvl w:ilvl="7" w:tplc="04160019" w:tentative="1">
      <w:start w:val="1"/>
      <w:numFmt w:val="lowerLetter"/>
      <w:lvlText w:val="%8."/>
      <w:lvlJc w:val="left"/>
      <w:pPr>
        <w:ind w:left="6810" w:hanging="360"/>
      </w:pPr>
    </w:lvl>
    <w:lvl w:ilvl="8" w:tplc="0416001B" w:tentative="1">
      <w:start w:val="1"/>
      <w:numFmt w:val="lowerRoman"/>
      <w:lvlText w:val="%9."/>
      <w:lvlJc w:val="right"/>
      <w:pPr>
        <w:ind w:left="7530" w:hanging="180"/>
      </w:pPr>
    </w:lvl>
  </w:abstractNum>
  <w:abstractNum w:abstractNumId="10" w15:restartNumberingAfterBreak="0">
    <w:nsid w:val="6B641FC0"/>
    <w:multiLevelType w:val="hybridMultilevel"/>
    <w:tmpl w:val="A69E85AA"/>
    <w:lvl w:ilvl="0" w:tplc="076ABD82">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7C330D7A"/>
    <w:multiLevelType w:val="hybridMultilevel"/>
    <w:tmpl w:val="F176ED1E"/>
    <w:lvl w:ilvl="0" w:tplc="04160011">
      <w:start w:val="1"/>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1"/>
  </w:num>
  <w:num w:numId="3">
    <w:abstractNumId w:val="8"/>
  </w:num>
  <w:num w:numId="4">
    <w:abstractNumId w:val="9"/>
  </w:num>
  <w:num w:numId="5">
    <w:abstractNumId w:val="4"/>
  </w:num>
  <w:num w:numId="6">
    <w:abstractNumId w:val="6"/>
  </w:num>
  <w:num w:numId="7">
    <w:abstractNumId w:val="3"/>
  </w:num>
  <w:num w:numId="8">
    <w:abstractNumId w:val="10"/>
  </w:num>
  <w:num w:numId="9">
    <w:abstractNumId w:val="7"/>
  </w:num>
  <w:num w:numId="10">
    <w:abstractNumId w:val="0"/>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40641">
      <o:colormenu v:ext="edit" strokecolor="none"/>
    </o:shapedefaults>
  </w:hdrShapeDefaults>
  <w:footnotePr>
    <w:footnote w:id="-1"/>
    <w:footnote w:id="0"/>
  </w:footnotePr>
  <w:endnotePr>
    <w:endnote w:id="-1"/>
    <w:endnote w:id="0"/>
  </w:endnotePr>
  <w:compat>
    <w:compatSetting w:name="compatibilityMode" w:uri="http://schemas.microsoft.com/office/word" w:val="12"/>
  </w:compat>
  <w:rsids>
    <w:rsidRoot w:val="00AC0CFD"/>
    <w:rsid w:val="0000235D"/>
    <w:rsid w:val="000038EF"/>
    <w:rsid w:val="00004777"/>
    <w:rsid w:val="00005398"/>
    <w:rsid w:val="000133A8"/>
    <w:rsid w:val="00020D6F"/>
    <w:rsid w:val="000327B4"/>
    <w:rsid w:val="000343E1"/>
    <w:rsid w:val="000375E4"/>
    <w:rsid w:val="000375FA"/>
    <w:rsid w:val="00037973"/>
    <w:rsid w:val="00040CB6"/>
    <w:rsid w:val="00041875"/>
    <w:rsid w:val="00044A50"/>
    <w:rsid w:val="00046906"/>
    <w:rsid w:val="000474AE"/>
    <w:rsid w:val="00053B7F"/>
    <w:rsid w:val="000549F9"/>
    <w:rsid w:val="00061EBB"/>
    <w:rsid w:val="00062E1F"/>
    <w:rsid w:val="00065C90"/>
    <w:rsid w:val="000711CD"/>
    <w:rsid w:val="0007386E"/>
    <w:rsid w:val="00074061"/>
    <w:rsid w:val="00074279"/>
    <w:rsid w:val="00091414"/>
    <w:rsid w:val="000973EA"/>
    <w:rsid w:val="000A040A"/>
    <w:rsid w:val="000A0510"/>
    <w:rsid w:val="000A5A82"/>
    <w:rsid w:val="000B566E"/>
    <w:rsid w:val="000B65A9"/>
    <w:rsid w:val="000C238A"/>
    <w:rsid w:val="000D0501"/>
    <w:rsid w:val="000D1375"/>
    <w:rsid w:val="000D2110"/>
    <w:rsid w:val="000D2DAD"/>
    <w:rsid w:val="000D60B5"/>
    <w:rsid w:val="000D760D"/>
    <w:rsid w:val="000E60B4"/>
    <w:rsid w:val="000E7E1D"/>
    <w:rsid w:val="000F6256"/>
    <w:rsid w:val="000F79D6"/>
    <w:rsid w:val="00106E55"/>
    <w:rsid w:val="00106EB7"/>
    <w:rsid w:val="0011110F"/>
    <w:rsid w:val="00117B9D"/>
    <w:rsid w:val="001347E8"/>
    <w:rsid w:val="00134A76"/>
    <w:rsid w:val="00137B82"/>
    <w:rsid w:val="00146014"/>
    <w:rsid w:val="0014636C"/>
    <w:rsid w:val="001516C0"/>
    <w:rsid w:val="00155962"/>
    <w:rsid w:val="0015712E"/>
    <w:rsid w:val="001630FC"/>
    <w:rsid w:val="00163A10"/>
    <w:rsid w:val="00164824"/>
    <w:rsid w:val="0016546B"/>
    <w:rsid w:val="0017139C"/>
    <w:rsid w:val="00171D76"/>
    <w:rsid w:val="00176F1B"/>
    <w:rsid w:val="00187143"/>
    <w:rsid w:val="001903B1"/>
    <w:rsid w:val="001A1AD3"/>
    <w:rsid w:val="001A4403"/>
    <w:rsid w:val="001A54D9"/>
    <w:rsid w:val="001B5A68"/>
    <w:rsid w:val="001C0E0D"/>
    <w:rsid w:val="001C3AA7"/>
    <w:rsid w:val="001C5587"/>
    <w:rsid w:val="001C5D92"/>
    <w:rsid w:val="001D1DF1"/>
    <w:rsid w:val="001D67ED"/>
    <w:rsid w:val="001E1F2D"/>
    <w:rsid w:val="001E4C89"/>
    <w:rsid w:val="001E5CC8"/>
    <w:rsid w:val="001E5EFD"/>
    <w:rsid w:val="001E793E"/>
    <w:rsid w:val="001F40F5"/>
    <w:rsid w:val="00200C6C"/>
    <w:rsid w:val="002052BB"/>
    <w:rsid w:val="0020562E"/>
    <w:rsid w:val="002068C5"/>
    <w:rsid w:val="00206F03"/>
    <w:rsid w:val="00210B37"/>
    <w:rsid w:val="00211728"/>
    <w:rsid w:val="00211D64"/>
    <w:rsid w:val="00213910"/>
    <w:rsid w:val="00214B74"/>
    <w:rsid w:val="0022122D"/>
    <w:rsid w:val="0022533A"/>
    <w:rsid w:val="0023195F"/>
    <w:rsid w:val="00240051"/>
    <w:rsid w:val="0024267A"/>
    <w:rsid w:val="00247BE8"/>
    <w:rsid w:val="0025093D"/>
    <w:rsid w:val="00251D27"/>
    <w:rsid w:val="0025325E"/>
    <w:rsid w:val="00254AFD"/>
    <w:rsid w:val="00254B16"/>
    <w:rsid w:val="002624D4"/>
    <w:rsid w:val="00262A17"/>
    <w:rsid w:val="00270F4B"/>
    <w:rsid w:val="002724D8"/>
    <w:rsid w:val="00273CF9"/>
    <w:rsid w:val="002740E8"/>
    <w:rsid w:val="00274802"/>
    <w:rsid w:val="00275AF9"/>
    <w:rsid w:val="00276608"/>
    <w:rsid w:val="002768FD"/>
    <w:rsid w:val="0028284B"/>
    <w:rsid w:val="00285AA9"/>
    <w:rsid w:val="00285E5F"/>
    <w:rsid w:val="00286013"/>
    <w:rsid w:val="002870B3"/>
    <w:rsid w:val="002912FE"/>
    <w:rsid w:val="00291C9B"/>
    <w:rsid w:val="00296E36"/>
    <w:rsid w:val="002B2417"/>
    <w:rsid w:val="002B3343"/>
    <w:rsid w:val="002C0399"/>
    <w:rsid w:val="002C7045"/>
    <w:rsid w:val="002C7BFD"/>
    <w:rsid w:val="002D149D"/>
    <w:rsid w:val="002D3AB9"/>
    <w:rsid w:val="002E0BB5"/>
    <w:rsid w:val="002E1943"/>
    <w:rsid w:val="002E544E"/>
    <w:rsid w:val="002F1CDF"/>
    <w:rsid w:val="00302500"/>
    <w:rsid w:val="003147B0"/>
    <w:rsid w:val="00315831"/>
    <w:rsid w:val="00320AA0"/>
    <w:rsid w:val="00323FB4"/>
    <w:rsid w:val="003262CB"/>
    <w:rsid w:val="00327AFE"/>
    <w:rsid w:val="0034527E"/>
    <w:rsid w:val="00352285"/>
    <w:rsid w:val="00352DE2"/>
    <w:rsid w:val="0035528C"/>
    <w:rsid w:val="0036155A"/>
    <w:rsid w:val="00370B86"/>
    <w:rsid w:val="00371177"/>
    <w:rsid w:val="00371632"/>
    <w:rsid w:val="00371A9C"/>
    <w:rsid w:val="00372955"/>
    <w:rsid w:val="0037552A"/>
    <w:rsid w:val="003759FD"/>
    <w:rsid w:val="003816BE"/>
    <w:rsid w:val="003818F3"/>
    <w:rsid w:val="003A10B8"/>
    <w:rsid w:val="003A3C75"/>
    <w:rsid w:val="003A7154"/>
    <w:rsid w:val="003B1056"/>
    <w:rsid w:val="003B1292"/>
    <w:rsid w:val="003B1918"/>
    <w:rsid w:val="003B1E86"/>
    <w:rsid w:val="003B3608"/>
    <w:rsid w:val="003B37FD"/>
    <w:rsid w:val="003C0384"/>
    <w:rsid w:val="003C184B"/>
    <w:rsid w:val="003C3F6E"/>
    <w:rsid w:val="003C43BA"/>
    <w:rsid w:val="003E32DD"/>
    <w:rsid w:val="003E7955"/>
    <w:rsid w:val="004031B6"/>
    <w:rsid w:val="00405600"/>
    <w:rsid w:val="0040642C"/>
    <w:rsid w:val="00407F38"/>
    <w:rsid w:val="00410211"/>
    <w:rsid w:val="0041392C"/>
    <w:rsid w:val="00420AF7"/>
    <w:rsid w:val="00423EAA"/>
    <w:rsid w:val="00424B63"/>
    <w:rsid w:val="004251A3"/>
    <w:rsid w:val="00427CD6"/>
    <w:rsid w:val="00433496"/>
    <w:rsid w:val="00434D19"/>
    <w:rsid w:val="00434F2F"/>
    <w:rsid w:val="004407BE"/>
    <w:rsid w:val="00452680"/>
    <w:rsid w:val="004602D7"/>
    <w:rsid w:val="00476723"/>
    <w:rsid w:val="00481752"/>
    <w:rsid w:val="00484F0C"/>
    <w:rsid w:val="004853BC"/>
    <w:rsid w:val="00487875"/>
    <w:rsid w:val="004940E2"/>
    <w:rsid w:val="004971F9"/>
    <w:rsid w:val="004A1754"/>
    <w:rsid w:val="004A2E50"/>
    <w:rsid w:val="004A3E6B"/>
    <w:rsid w:val="004A3F6B"/>
    <w:rsid w:val="004A7DF7"/>
    <w:rsid w:val="004B1351"/>
    <w:rsid w:val="004B437D"/>
    <w:rsid w:val="004C7A4D"/>
    <w:rsid w:val="004D1A6C"/>
    <w:rsid w:val="004D46B9"/>
    <w:rsid w:val="004E1F58"/>
    <w:rsid w:val="004E3620"/>
    <w:rsid w:val="004E66CD"/>
    <w:rsid w:val="004E6E8B"/>
    <w:rsid w:val="004F3549"/>
    <w:rsid w:val="004F50E1"/>
    <w:rsid w:val="004F5CB0"/>
    <w:rsid w:val="0050175C"/>
    <w:rsid w:val="0050369B"/>
    <w:rsid w:val="00506D86"/>
    <w:rsid w:val="00514F11"/>
    <w:rsid w:val="00516BA4"/>
    <w:rsid w:val="00523D2A"/>
    <w:rsid w:val="00531154"/>
    <w:rsid w:val="005319F4"/>
    <w:rsid w:val="005340A3"/>
    <w:rsid w:val="005345EC"/>
    <w:rsid w:val="00536D8B"/>
    <w:rsid w:val="0054251E"/>
    <w:rsid w:val="00552684"/>
    <w:rsid w:val="00553822"/>
    <w:rsid w:val="00556AC1"/>
    <w:rsid w:val="005575D5"/>
    <w:rsid w:val="00565628"/>
    <w:rsid w:val="00582033"/>
    <w:rsid w:val="005861DC"/>
    <w:rsid w:val="00594E58"/>
    <w:rsid w:val="00595D9D"/>
    <w:rsid w:val="00597AC5"/>
    <w:rsid w:val="005A0E7E"/>
    <w:rsid w:val="005A12E2"/>
    <w:rsid w:val="005B02E1"/>
    <w:rsid w:val="005B0BA1"/>
    <w:rsid w:val="005C1ED1"/>
    <w:rsid w:val="005C35C4"/>
    <w:rsid w:val="005C450B"/>
    <w:rsid w:val="005C4C40"/>
    <w:rsid w:val="005C76FE"/>
    <w:rsid w:val="005D1F32"/>
    <w:rsid w:val="005D2B9E"/>
    <w:rsid w:val="005D3324"/>
    <w:rsid w:val="005F094D"/>
    <w:rsid w:val="005F5B9D"/>
    <w:rsid w:val="00600182"/>
    <w:rsid w:val="0060055A"/>
    <w:rsid w:val="00600B44"/>
    <w:rsid w:val="00601A35"/>
    <w:rsid w:val="00601E40"/>
    <w:rsid w:val="006028F8"/>
    <w:rsid w:val="006061BE"/>
    <w:rsid w:val="00610BF1"/>
    <w:rsid w:val="00615973"/>
    <w:rsid w:val="00622C2E"/>
    <w:rsid w:val="006277AD"/>
    <w:rsid w:val="0063284F"/>
    <w:rsid w:val="00633E8E"/>
    <w:rsid w:val="00634BF0"/>
    <w:rsid w:val="00635019"/>
    <w:rsid w:val="006366CD"/>
    <w:rsid w:val="00637E5C"/>
    <w:rsid w:val="006428DF"/>
    <w:rsid w:val="006436D7"/>
    <w:rsid w:val="00650529"/>
    <w:rsid w:val="006517FC"/>
    <w:rsid w:val="00655D35"/>
    <w:rsid w:val="00657DE9"/>
    <w:rsid w:val="00664F78"/>
    <w:rsid w:val="00666CDA"/>
    <w:rsid w:val="00667C6F"/>
    <w:rsid w:val="00667ED0"/>
    <w:rsid w:val="00672140"/>
    <w:rsid w:val="0067293F"/>
    <w:rsid w:val="00677269"/>
    <w:rsid w:val="00677E0F"/>
    <w:rsid w:val="00692575"/>
    <w:rsid w:val="00693C2E"/>
    <w:rsid w:val="00695910"/>
    <w:rsid w:val="006A0885"/>
    <w:rsid w:val="006A10F8"/>
    <w:rsid w:val="006A215E"/>
    <w:rsid w:val="006B15BF"/>
    <w:rsid w:val="006B34C5"/>
    <w:rsid w:val="006B40E5"/>
    <w:rsid w:val="006B4515"/>
    <w:rsid w:val="006B6BBF"/>
    <w:rsid w:val="006C10BF"/>
    <w:rsid w:val="006C1978"/>
    <w:rsid w:val="006C4DE6"/>
    <w:rsid w:val="006C5706"/>
    <w:rsid w:val="006C5E61"/>
    <w:rsid w:val="006C7BCD"/>
    <w:rsid w:val="006D39EE"/>
    <w:rsid w:val="006D5526"/>
    <w:rsid w:val="006D7B84"/>
    <w:rsid w:val="006E117B"/>
    <w:rsid w:val="006E341E"/>
    <w:rsid w:val="006F1442"/>
    <w:rsid w:val="007031D3"/>
    <w:rsid w:val="0070375C"/>
    <w:rsid w:val="00704FC5"/>
    <w:rsid w:val="0071325E"/>
    <w:rsid w:val="00713B8A"/>
    <w:rsid w:val="00714264"/>
    <w:rsid w:val="00720927"/>
    <w:rsid w:val="00721A39"/>
    <w:rsid w:val="00722E42"/>
    <w:rsid w:val="00723811"/>
    <w:rsid w:val="007271A8"/>
    <w:rsid w:val="00730FC2"/>
    <w:rsid w:val="00731834"/>
    <w:rsid w:val="00733354"/>
    <w:rsid w:val="00733C60"/>
    <w:rsid w:val="007432AB"/>
    <w:rsid w:val="00744B1E"/>
    <w:rsid w:val="00761154"/>
    <w:rsid w:val="00763F00"/>
    <w:rsid w:val="00764D72"/>
    <w:rsid w:val="00765FF3"/>
    <w:rsid w:val="007662A6"/>
    <w:rsid w:val="00771CB1"/>
    <w:rsid w:val="00782A3A"/>
    <w:rsid w:val="007843A0"/>
    <w:rsid w:val="00786CB7"/>
    <w:rsid w:val="00792713"/>
    <w:rsid w:val="00793CE3"/>
    <w:rsid w:val="00794D38"/>
    <w:rsid w:val="00795021"/>
    <w:rsid w:val="007A47AE"/>
    <w:rsid w:val="007B1981"/>
    <w:rsid w:val="007B25D6"/>
    <w:rsid w:val="007B365B"/>
    <w:rsid w:val="007B3761"/>
    <w:rsid w:val="007C1FD1"/>
    <w:rsid w:val="007C23C7"/>
    <w:rsid w:val="007C359E"/>
    <w:rsid w:val="007E2A84"/>
    <w:rsid w:val="007E3313"/>
    <w:rsid w:val="007E3A60"/>
    <w:rsid w:val="007E7B6C"/>
    <w:rsid w:val="007F0A01"/>
    <w:rsid w:val="007F114F"/>
    <w:rsid w:val="00801064"/>
    <w:rsid w:val="00801388"/>
    <w:rsid w:val="00805C71"/>
    <w:rsid w:val="008074AE"/>
    <w:rsid w:val="00810B1A"/>
    <w:rsid w:val="00812327"/>
    <w:rsid w:val="00815850"/>
    <w:rsid w:val="00816CBA"/>
    <w:rsid w:val="00821757"/>
    <w:rsid w:val="0083296A"/>
    <w:rsid w:val="00842CC5"/>
    <w:rsid w:val="00844DFC"/>
    <w:rsid w:val="00850D61"/>
    <w:rsid w:val="00856158"/>
    <w:rsid w:val="00860A2C"/>
    <w:rsid w:val="00861938"/>
    <w:rsid w:val="008622EE"/>
    <w:rsid w:val="008674DE"/>
    <w:rsid w:val="00871249"/>
    <w:rsid w:val="00871469"/>
    <w:rsid w:val="00874281"/>
    <w:rsid w:val="00875280"/>
    <w:rsid w:val="0088008E"/>
    <w:rsid w:val="00884B59"/>
    <w:rsid w:val="00893D8F"/>
    <w:rsid w:val="008A7CAD"/>
    <w:rsid w:val="008B13CC"/>
    <w:rsid w:val="008B7204"/>
    <w:rsid w:val="008C040B"/>
    <w:rsid w:val="008C2238"/>
    <w:rsid w:val="008D1FB0"/>
    <w:rsid w:val="008E3E74"/>
    <w:rsid w:val="008F4979"/>
    <w:rsid w:val="008F59D9"/>
    <w:rsid w:val="008F739B"/>
    <w:rsid w:val="008F7A94"/>
    <w:rsid w:val="009110CD"/>
    <w:rsid w:val="009122AC"/>
    <w:rsid w:val="00913DB3"/>
    <w:rsid w:val="00916508"/>
    <w:rsid w:val="009202CB"/>
    <w:rsid w:val="00926F59"/>
    <w:rsid w:val="0093283A"/>
    <w:rsid w:val="00936AB8"/>
    <w:rsid w:val="009375C4"/>
    <w:rsid w:val="00940456"/>
    <w:rsid w:val="009430A1"/>
    <w:rsid w:val="0094510A"/>
    <w:rsid w:val="00950E30"/>
    <w:rsid w:val="009520C7"/>
    <w:rsid w:val="00953126"/>
    <w:rsid w:val="009534F9"/>
    <w:rsid w:val="0095399B"/>
    <w:rsid w:val="00954801"/>
    <w:rsid w:val="0096045F"/>
    <w:rsid w:val="009625D1"/>
    <w:rsid w:val="0096444B"/>
    <w:rsid w:val="00972A2F"/>
    <w:rsid w:val="0097665A"/>
    <w:rsid w:val="00976FC2"/>
    <w:rsid w:val="00981EE2"/>
    <w:rsid w:val="009822AC"/>
    <w:rsid w:val="009827B3"/>
    <w:rsid w:val="009863B5"/>
    <w:rsid w:val="00993D60"/>
    <w:rsid w:val="00996525"/>
    <w:rsid w:val="009A1541"/>
    <w:rsid w:val="009B43E3"/>
    <w:rsid w:val="009B5CC8"/>
    <w:rsid w:val="009C17B7"/>
    <w:rsid w:val="009C3C51"/>
    <w:rsid w:val="009C71E4"/>
    <w:rsid w:val="009E170A"/>
    <w:rsid w:val="009F337B"/>
    <w:rsid w:val="009F3FAD"/>
    <w:rsid w:val="009F6974"/>
    <w:rsid w:val="009F732A"/>
    <w:rsid w:val="00A01801"/>
    <w:rsid w:val="00A07AEC"/>
    <w:rsid w:val="00A13D35"/>
    <w:rsid w:val="00A204EE"/>
    <w:rsid w:val="00A2117D"/>
    <w:rsid w:val="00A25947"/>
    <w:rsid w:val="00A33BA4"/>
    <w:rsid w:val="00A37D16"/>
    <w:rsid w:val="00A46E96"/>
    <w:rsid w:val="00A47978"/>
    <w:rsid w:val="00A562AE"/>
    <w:rsid w:val="00A577A0"/>
    <w:rsid w:val="00A6051A"/>
    <w:rsid w:val="00A6501E"/>
    <w:rsid w:val="00A713AD"/>
    <w:rsid w:val="00A71476"/>
    <w:rsid w:val="00A730F1"/>
    <w:rsid w:val="00A85065"/>
    <w:rsid w:val="00A8550A"/>
    <w:rsid w:val="00A86265"/>
    <w:rsid w:val="00A8714A"/>
    <w:rsid w:val="00A87721"/>
    <w:rsid w:val="00A9504D"/>
    <w:rsid w:val="00A95EE3"/>
    <w:rsid w:val="00A96E17"/>
    <w:rsid w:val="00AA0CAF"/>
    <w:rsid w:val="00AA1861"/>
    <w:rsid w:val="00AA198D"/>
    <w:rsid w:val="00AB0224"/>
    <w:rsid w:val="00AB1E91"/>
    <w:rsid w:val="00AB3C67"/>
    <w:rsid w:val="00AC0CFD"/>
    <w:rsid w:val="00AC27B4"/>
    <w:rsid w:val="00AC4677"/>
    <w:rsid w:val="00AD1E21"/>
    <w:rsid w:val="00AD3F97"/>
    <w:rsid w:val="00AD5436"/>
    <w:rsid w:val="00AD75E2"/>
    <w:rsid w:val="00AE0606"/>
    <w:rsid w:val="00AE2A53"/>
    <w:rsid w:val="00AE3A7F"/>
    <w:rsid w:val="00AE4FEA"/>
    <w:rsid w:val="00AE55FA"/>
    <w:rsid w:val="00AE68B9"/>
    <w:rsid w:val="00AF26FA"/>
    <w:rsid w:val="00AF2714"/>
    <w:rsid w:val="00AF6219"/>
    <w:rsid w:val="00B01130"/>
    <w:rsid w:val="00B016BC"/>
    <w:rsid w:val="00B02A12"/>
    <w:rsid w:val="00B20525"/>
    <w:rsid w:val="00B27946"/>
    <w:rsid w:val="00B30B3A"/>
    <w:rsid w:val="00B3130B"/>
    <w:rsid w:val="00B366A0"/>
    <w:rsid w:val="00B3736F"/>
    <w:rsid w:val="00B45D41"/>
    <w:rsid w:val="00B50A47"/>
    <w:rsid w:val="00B54A31"/>
    <w:rsid w:val="00B605DC"/>
    <w:rsid w:val="00B61661"/>
    <w:rsid w:val="00B63F86"/>
    <w:rsid w:val="00B67647"/>
    <w:rsid w:val="00B7256F"/>
    <w:rsid w:val="00B7538A"/>
    <w:rsid w:val="00B83FC5"/>
    <w:rsid w:val="00B85695"/>
    <w:rsid w:val="00B87256"/>
    <w:rsid w:val="00BA1F99"/>
    <w:rsid w:val="00BA4BDF"/>
    <w:rsid w:val="00BB0725"/>
    <w:rsid w:val="00BB7450"/>
    <w:rsid w:val="00BB7E64"/>
    <w:rsid w:val="00BC411C"/>
    <w:rsid w:val="00BD51CF"/>
    <w:rsid w:val="00BE0973"/>
    <w:rsid w:val="00BE56D6"/>
    <w:rsid w:val="00BF26CA"/>
    <w:rsid w:val="00BF3EF1"/>
    <w:rsid w:val="00BF53C2"/>
    <w:rsid w:val="00BF78FB"/>
    <w:rsid w:val="00C010A5"/>
    <w:rsid w:val="00C02784"/>
    <w:rsid w:val="00C028E7"/>
    <w:rsid w:val="00C02AA7"/>
    <w:rsid w:val="00C06832"/>
    <w:rsid w:val="00C07CB2"/>
    <w:rsid w:val="00C10F73"/>
    <w:rsid w:val="00C17A88"/>
    <w:rsid w:val="00C31E97"/>
    <w:rsid w:val="00C33224"/>
    <w:rsid w:val="00C35B2E"/>
    <w:rsid w:val="00C3650F"/>
    <w:rsid w:val="00C41576"/>
    <w:rsid w:val="00C4541E"/>
    <w:rsid w:val="00C471E7"/>
    <w:rsid w:val="00C51526"/>
    <w:rsid w:val="00C53349"/>
    <w:rsid w:val="00C53E5C"/>
    <w:rsid w:val="00C56C07"/>
    <w:rsid w:val="00C6223D"/>
    <w:rsid w:val="00C623B9"/>
    <w:rsid w:val="00C62542"/>
    <w:rsid w:val="00C62A5D"/>
    <w:rsid w:val="00C63BCF"/>
    <w:rsid w:val="00C65D48"/>
    <w:rsid w:val="00C74A6B"/>
    <w:rsid w:val="00C7544E"/>
    <w:rsid w:val="00C76592"/>
    <w:rsid w:val="00C803FF"/>
    <w:rsid w:val="00C80E72"/>
    <w:rsid w:val="00C833C8"/>
    <w:rsid w:val="00C838FA"/>
    <w:rsid w:val="00C85FD3"/>
    <w:rsid w:val="00C862EB"/>
    <w:rsid w:val="00C9178E"/>
    <w:rsid w:val="00C97A0D"/>
    <w:rsid w:val="00CA1AEF"/>
    <w:rsid w:val="00CA3F7E"/>
    <w:rsid w:val="00CA445D"/>
    <w:rsid w:val="00CB3005"/>
    <w:rsid w:val="00CB3445"/>
    <w:rsid w:val="00CC62C9"/>
    <w:rsid w:val="00CD02CA"/>
    <w:rsid w:val="00CD08DD"/>
    <w:rsid w:val="00CD72C9"/>
    <w:rsid w:val="00CE2511"/>
    <w:rsid w:val="00CE5827"/>
    <w:rsid w:val="00CF279F"/>
    <w:rsid w:val="00CF2F90"/>
    <w:rsid w:val="00CF43D5"/>
    <w:rsid w:val="00D03ADF"/>
    <w:rsid w:val="00D0460A"/>
    <w:rsid w:val="00D07741"/>
    <w:rsid w:val="00D07A86"/>
    <w:rsid w:val="00D11D9A"/>
    <w:rsid w:val="00D13FF0"/>
    <w:rsid w:val="00D16E23"/>
    <w:rsid w:val="00D2127A"/>
    <w:rsid w:val="00D22E8A"/>
    <w:rsid w:val="00D249AE"/>
    <w:rsid w:val="00D26343"/>
    <w:rsid w:val="00D2634B"/>
    <w:rsid w:val="00D40408"/>
    <w:rsid w:val="00D5349B"/>
    <w:rsid w:val="00D56A27"/>
    <w:rsid w:val="00D659F9"/>
    <w:rsid w:val="00D67CB1"/>
    <w:rsid w:val="00D75086"/>
    <w:rsid w:val="00D76541"/>
    <w:rsid w:val="00D87A41"/>
    <w:rsid w:val="00D90BC6"/>
    <w:rsid w:val="00D91C19"/>
    <w:rsid w:val="00D93DDE"/>
    <w:rsid w:val="00D945F3"/>
    <w:rsid w:val="00D94A7A"/>
    <w:rsid w:val="00DA1C60"/>
    <w:rsid w:val="00DA73B3"/>
    <w:rsid w:val="00DB0A64"/>
    <w:rsid w:val="00DB136F"/>
    <w:rsid w:val="00DC1F2D"/>
    <w:rsid w:val="00DC3BE9"/>
    <w:rsid w:val="00DC47E5"/>
    <w:rsid w:val="00DC7945"/>
    <w:rsid w:val="00DD1773"/>
    <w:rsid w:val="00DD243E"/>
    <w:rsid w:val="00DD4DE3"/>
    <w:rsid w:val="00DD5252"/>
    <w:rsid w:val="00DD5609"/>
    <w:rsid w:val="00DD7D43"/>
    <w:rsid w:val="00DE17F1"/>
    <w:rsid w:val="00DE3936"/>
    <w:rsid w:val="00DE6F78"/>
    <w:rsid w:val="00DF15CD"/>
    <w:rsid w:val="00DF2209"/>
    <w:rsid w:val="00DF3D9A"/>
    <w:rsid w:val="00E0525B"/>
    <w:rsid w:val="00E0668A"/>
    <w:rsid w:val="00E07F74"/>
    <w:rsid w:val="00E10EC5"/>
    <w:rsid w:val="00E1320A"/>
    <w:rsid w:val="00E14875"/>
    <w:rsid w:val="00E14B1B"/>
    <w:rsid w:val="00E1511F"/>
    <w:rsid w:val="00E16A00"/>
    <w:rsid w:val="00E3083F"/>
    <w:rsid w:val="00E35BA4"/>
    <w:rsid w:val="00E37445"/>
    <w:rsid w:val="00E464ED"/>
    <w:rsid w:val="00E47F49"/>
    <w:rsid w:val="00E51881"/>
    <w:rsid w:val="00E70AC9"/>
    <w:rsid w:val="00E727AB"/>
    <w:rsid w:val="00E80592"/>
    <w:rsid w:val="00E80D78"/>
    <w:rsid w:val="00E851DE"/>
    <w:rsid w:val="00E87F27"/>
    <w:rsid w:val="00E92E31"/>
    <w:rsid w:val="00E9348C"/>
    <w:rsid w:val="00EA286F"/>
    <w:rsid w:val="00EA6041"/>
    <w:rsid w:val="00EA6B5A"/>
    <w:rsid w:val="00EC2CBB"/>
    <w:rsid w:val="00EC3593"/>
    <w:rsid w:val="00EC539A"/>
    <w:rsid w:val="00EC62C9"/>
    <w:rsid w:val="00EC6701"/>
    <w:rsid w:val="00EC7541"/>
    <w:rsid w:val="00EC7995"/>
    <w:rsid w:val="00ED007A"/>
    <w:rsid w:val="00ED0E65"/>
    <w:rsid w:val="00ED64AB"/>
    <w:rsid w:val="00ED792F"/>
    <w:rsid w:val="00ED7BD0"/>
    <w:rsid w:val="00EE2481"/>
    <w:rsid w:val="00EE657E"/>
    <w:rsid w:val="00EF3BEB"/>
    <w:rsid w:val="00EF5962"/>
    <w:rsid w:val="00F05CD7"/>
    <w:rsid w:val="00F06085"/>
    <w:rsid w:val="00F1295B"/>
    <w:rsid w:val="00F14B85"/>
    <w:rsid w:val="00F16B91"/>
    <w:rsid w:val="00F16FBE"/>
    <w:rsid w:val="00F17C07"/>
    <w:rsid w:val="00F214D2"/>
    <w:rsid w:val="00F21AD6"/>
    <w:rsid w:val="00F245C2"/>
    <w:rsid w:val="00F3032F"/>
    <w:rsid w:val="00F3236B"/>
    <w:rsid w:val="00F33E3C"/>
    <w:rsid w:val="00F370C5"/>
    <w:rsid w:val="00F40004"/>
    <w:rsid w:val="00F407B9"/>
    <w:rsid w:val="00F46170"/>
    <w:rsid w:val="00F46C4A"/>
    <w:rsid w:val="00F569C9"/>
    <w:rsid w:val="00F57257"/>
    <w:rsid w:val="00F64EAC"/>
    <w:rsid w:val="00F66811"/>
    <w:rsid w:val="00F70C22"/>
    <w:rsid w:val="00F751AE"/>
    <w:rsid w:val="00F7560E"/>
    <w:rsid w:val="00F818E4"/>
    <w:rsid w:val="00F85522"/>
    <w:rsid w:val="00F93594"/>
    <w:rsid w:val="00F9418B"/>
    <w:rsid w:val="00F9563A"/>
    <w:rsid w:val="00F96BE2"/>
    <w:rsid w:val="00FA500B"/>
    <w:rsid w:val="00FA5970"/>
    <w:rsid w:val="00FA74BD"/>
    <w:rsid w:val="00FB00B8"/>
    <w:rsid w:val="00FB1994"/>
    <w:rsid w:val="00FB61BA"/>
    <w:rsid w:val="00FB6F04"/>
    <w:rsid w:val="00FC0231"/>
    <w:rsid w:val="00FC3078"/>
    <w:rsid w:val="00FC4710"/>
    <w:rsid w:val="00FC7667"/>
    <w:rsid w:val="00FE39B6"/>
    <w:rsid w:val="00FE3D1E"/>
    <w:rsid w:val="00FE4175"/>
    <w:rsid w:val="00FE4CA0"/>
    <w:rsid w:val="00FF0287"/>
    <w:rsid w:val="00FF6AD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40641">
      <o:colormenu v:ext="edit" strokecolor="none"/>
    </o:shapedefaults>
    <o:shapelayout v:ext="edit">
      <o:idmap v:ext="edit" data="1"/>
    </o:shapelayout>
  </w:shapeDefaults>
  <w:decimalSymbol w:val=","/>
  <w:listSeparator w:val=";"/>
  <w14:docId w14:val="7444315F"/>
  <w15:docId w15:val="{F40C5F7E-AA79-47A3-8C92-0E84086E8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75FA"/>
    <w:rPr>
      <w:rFonts w:ascii="Calibri" w:eastAsia="Calibri" w:hAnsi="Calibri" w:cs="Times New Roman"/>
    </w:rPr>
  </w:style>
  <w:style w:type="paragraph" w:styleId="Ttulo6">
    <w:name w:val="heading 6"/>
    <w:basedOn w:val="Normal"/>
    <w:next w:val="Normal"/>
    <w:link w:val="Ttulo6Char"/>
    <w:qFormat/>
    <w:rsid w:val="000375FA"/>
    <w:pPr>
      <w:keepNext/>
      <w:spacing w:line="240" w:lineRule="auto"/>
      <w:ind w:firstLine="3969"/>
      <w:outlineLvl w:val="5"/>
    </w:pPr>
    <w:rPr>
      <w:rFonts w:ascii="Century Gothic" w:eastAsia="Times New Roman" w:hAnsi="Century Gothic"/>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375C4"/>
    <w:pPr>
      <w:tabs>
        <w:tab w:val="center" w:pos="4252"/>
        <w:tab w:val="right" w:pos="8504"/>
      </w:tabs>
      <w:spacing w:line="240" w:lineRule="auto"/>
    </w:pPr>
    <w:rPr>
      <w:rFonts w:asciiTheme="minorHAnsi" w:eastAsiaTheme="minorHAnsi" w:hAnsiTheme="minorHAnsi" w:cstheme="minorBidi"/>
    </w:rPr>
  </w:style>
  <w:style w:type="character" w:customStyle="1" w:styleId="CabealhoChar">
    <w:name w:val="Cabeçalho Char"/>
    <w:basedOn w:val="Fontepargpadro"/>
    <w:link w:val="Cabealho"/>
    <w:uiPriority w:val="99"/>
    <w:rsid w:val="009375C4"/>
  </w:style>
  <w:style w:type="paragraph" w:styleId="Rodap">
    <w:name w:val="footer"/>
    <w:basedOn w:val="Normal"/>
    <w:link w:val="RodapChar"/>
    <w:uiPriority w:val="99"/>
    <w:unhideWhenUsed/>
    <w:rsid w:val="009375C4"/>
    <w:pPr>
      <w:tabs>
        <w:tab w:val="center" w:pos="4252"/>
        <w:tab w:val="right" w:pos="8504"/>
      </w:tabs>
      <w:spacing w:line="240" w:lineRule="auto"/>
    </w:pPr>
    <w:rPr>
      <w:rFonts w:asciiTheme="minorHAnsi" w:eastAsiaTheme="minorHAnsi" w:hAnsiTheme="minorHAnsi" w:cstheme="minorBidi"/>
    </w:rPr>
  </w:style>
  <w:style w:type="character" w:customStyle="1" w:styleId="RodapChar">
    <w:name w:val="Rodapé Char"/>
    <w:basedOn w:val="Fontepargpadro"/>
    <w:link w:val="Rodap"/>
    <w:uiPriority w:val="99"/>
    <w:rsid w:val="009375C4"/>
  </w:style>
  <w:style w:type="paragraph" w:styleId="Ttulo">
    <w:name w:val="Title"/>
    <w:basedOn w:val="Normal"/>
    <w:link w:val="TtuloChar"/>
    <w:qFormat/>
    <w:rsid w:val="00E3083F"/>
    <w:pPr>
      <w:spacing w:line="240" w:lineRule="auto"/>
      <w:ind w:firstLine="1680"/>
    </w:pPr>
    <w:rPr>
      <w:rFonts w:ascii="Arial" w:eastAsia="Times New Roman" w:hAnsi="Arial" w:cs="Arial"/>
      <w:b/>
      <w:bCs/>
      <w:szCs w:val="24"/>
      <w:lang w:eastAsia="pt-BR"/>
    </w:rPr>
  </w:style>
  <w:style w:type="character" w:customStyle="1" w:styleId="TtuloChar">
    <w:name w:val="Título Char"/>
    <w:basedOn w:val="Fontepargpadro"/>
    <w:link w:val="Ttulo"/>
    <w:rsid w:val="00E3083F"/>
    <w:rPr>
      <w:rFonts w:ascii="Arial" w:eastAsia="Times New Roman" w:hAnsi="Arial" w:cs="Arial"/>
      <w:b/>
      <w:bCs/>
      <w:szCs w:val="24"/>
      <w:lang w:eastAsia="pt-BR"/>
    </w:rPr>
  </w:style>
  <w:style w:type="paragraph" w:styleId="PargrafodaLista">
    <w:name w:val="List Paragraph"/>
    <w:basedOn w:val="Normal"/>
    <w:qFormat/>
    <w:rsid w:val="00213910"/>
    <w:pPr>
      <w:ind w:left="720"/>
      <w:contextualSpacing/>
    </w:pPr>
    <w:rPr>
      <w:rFonts w:asciiTheme="minorHAnsi" w:eastAsiaTheme="minorHAnsi" w:hAnsiTheme="minorHAnsi" w:cstheme="minorBidi"/>
    </w:rPr>
  </w:style>
  <w:style w:type="paragraph" w:styleId="Textodebalo">
    <w:name w:val="Balloon Text"/>
    <w:basedOn w:val="Normal"/>
    <w:link w:val="TextodebaloChar"/>
    <w:uiPriority w:val="99"/>
    <w:semiHidden/>
    <w:unhideWhenUsed/>
    <w:rsid w:val="00552684"/>
    <w:pPr>
      <w:spacing w:line="240" w:lineRule="auto"/>
    </w:pPr>
    <w:rPr>
      <w:rFonts w:ascii="Tahoma" w:eastAsiaTheme="minorHAnsi" w:hAnsi="Tahoma" w:cs="Tahoma"/>
      <w:sz w:val="16"/>
      <w:szCs w:val="16"/>
    </w:rPr>
  </w:style>
  <w:style w:type="character" w:customStyle="1" w:styleId="TextodebaloChar">
    <w:name w:val="Texto de balão Char"/>
    <w:basedOn w:val="Fontepargpadro"/>
    <w:link w:val="Textodebalo"/>
    <w:uiPriority w:val="99"/>
    <w:semiHidden/>
    <w:rsid w:val="00552684"/>
    <w:rPr>
      <w:rFonts w:ascii="Tahoma" w:hAnsi="Tahoma" w:cs="Tahoma"/>
      <w:sz w:val="16"/>
      <w:szCs w:val="16"/>
    </w:rPr>
  </w:style>
  <w:style w:type="character" w:customStyle="1" w:styleId="Ttulo6Char">
    <w:name w:val="Título 6 Char"/>
    <w:basedOn w:val="Fontepargpadro"/>
    <w:link w:val="Ttulo6"/>
    <w:rsid w:val="000375FA"/>
    <w:rPr>
      <w:rFonts w:ascii="Century Gothic" w:eastAsia="Times New Roman" w:hAnsi="Century Gothic" w:cs="Times New Roman"/>
      <w:sz w:val="24"/>
      <w:szCs w:val="20"/>
      <w:lang w:eastAsia="pt-BR"/>
    </w:rPr>
  </w:style>
  <w:style w:type="paragraph" w:styleId="Recuodecorpodetexto">
    <w:name w:val="Body Text Indent"/>
    <w:basedOn w:val="Normal"/>
    <w:link w:val="RecuodecorpodetextoChar"/>
    <w:unhideWhenUsed/>
    <w:rsid w:val="000375FA"/>
    <w:pPr>
      <w:spacing w:line="360" w:lineRule="auto"/>
      <w:ind w:firstLine="3685"/>
    </w:pPr>
    <w:rPr>
      <w:rFonts w:ascii="Century Gothic" w:eastAsia="Times New Roman" w:hAnsi="Century Gothic"/>
      <w:sz w:val="24"/>
      <w:szCs w:val="20"/>
      <w:lang w:eastAsia="pt-BR"/>
    </w:rPr>
  </w:style>
  <w:style w:type="character" w:customStyle="1" w:styleId="RecuodecorpodetextoChar">
    <w:name w:val="Recuo de corpo de texto Char"/>
    <w:basedOn w:val="Fontepargpadro"/>
    <w:link w:val="Recuodecorpodetexto"/>
    <w:rsid w:val="000375FA"/>
    <w:rPr>
      <w:rFonts w:ascii="Century Gothic" w:eastAsia="Times New Roman" w:hAnsi="Century Gothic" w:cs="Times New Roman"/>
      <w:sz w:val="24"/>
      <w:szCs w:val="20"/>
      <w:lang w:eastAsia="pt-BR"/>
    </w:rPr>
  </w:style>
  <w:style w:type="paragraph" w:styleId="Recuodecorpodetexto2">
    <w:name w:val="Body Text Indent 2"/>
    <w:basedOn w:val="Normal"/>
    <w:link w:val="Recuodecorpodetexto2Char"/>
    <w:semiHidden/>
    <w:unhideWhenUsed/>
    <w:rsid w:val="000375FA"/>
    <w:pPr>
      <w:spacing w:line="240" w:lineRule="auto"/>
      <w:ind w:firstLine="4253"/>
    </w:pPr>
    <w:rPr>
      <w:rFonts w:ascii="Century Gothic" w:eastAsia="Times New Roman" w:hAnsi="Century Gothic"/>
      <w:sz w:val="24"/>
      <w:szCs w:val="20"/>
      <w:lang w:eastAsia="pt-BR"/>
    </w:rPr>
  </w:style>
  <w:style w:type="character" w:customStyle="1" w:styleId="Recuodecorpodetexto2Char">
    <w:name w:val="Recuo de corpo de texto 2 Char"/>
    <w:basedOn w:val="Fontepargpadro"/>
    <w:link w:val="Recuodecorpodetexto2"/>
    <w:semiHidden/>
    <w:rsid w:val="000375FA"/>
    <w:rPr>
      <w:rFonts w:ascii="Century Gothic" w:eastAsia="Times New Roman" w:hAnsi="Century Gothic" w:cs="Times New Roman"/>
      <w:sz w:val="24"/>
      <w:szCs w:val="20"/>
      <w:lang w:eastAsia="pt-BR"/>
    </w:rPr>
  </w:style>
  <w:style w:type="character" w:styleId="Hyperlink">
    <w:name w:val="Hyperlink"/>
    <w:basedOn w:val="Fontepargpadro"/>
    <w:uiPriority w:val="99"/>
    <w:unhideWhenUsed/>
    <w:rsid w:val="000375FA"/>
    <w:rPr>
      <w:color w:val="0000FF"/>
      <w:u w:val="single"/>
    </w:rPr>
  </w:style>
  <w:style w:type="table" w:styleId="Tabelacomgrade">
    <w:name w:val="Table Grid"/>
    <w:basedOn w:val="Tabelanormal"/>
    <w:uiPriority w:val="59"/>
    <w:rsid w:val="00F40004"/>
    <w:pPr>
      <w:spacing w:line="240" w:lineRule="auto"/>
    </w:pPr>
    <w:rPr>
      <w:rFonts w:ascii="Calibri" w:eastAsia="Calibri" w:hAnsi="Calibri" w:cs="Times New Roman"/>
      <w:sz w:val="20"/>
      <w:szCs w:val="20"/>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D67CB1"/>
    <w:pPr>
      <w:autoSpaceDE w:val="0"/>
      <w:autoSpaceDN w:val="0"/>
      <w:adjustRightInd w:val="0"/>
      <w:spacing w:line="240" w:lineRule="auto"/>
    </w:pPr>
    <w:rPr>
      <w:rFonts w:ascii="Calibri" w:hAnsi="Calibri" w:cs="Calibri"/>
      <w:color w:val="000000"/>
      <w:sz w:val="24"/>
      <w:szCs w:val="24"/>
    </w:rPr>
  </w:style>
  <w:style w:type="table" w:customStyle="1" w:styleId="Tabelacomgrade1">
    <w:name w:val="Tabela com grade1"/>
    <w:basedOn w:val="Tabelanormal"/>
    <w:next w:val="Tabelacomgrade"/>
    <w:uiPriority w:val="59"/>
    <w:rsid w:val="005B0BA1"/>
    <w:pPr>
      <w:spacing w:line="240" w:lineRule="auto"/>
    </w:pPr>
    <w:rPr>
      <w:rFonts w:ascii="Calibri" w:eastAsia="Calibri" w:hAnsi="Calibri" w:cs="Times New Roman"/>
      <w:sz w:val="20"/>
      <w:szCs w:val="20"/>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elacomgrade2">
    <w:name w:val="Tabela com grade2"/>
    <w:basedOn w:val="Tabelanormal"/>
    <w:next w:val="Tabelacomgrade"/>
    <w:uiPriority w:val="59"/>
    <w:rsid w:val="005B0BA1"/>
    <w:pPr>
      <w:spacing w:line="240" w:lineRule="auto"/>
    </w:pPr>
    <w:rPr>
      <w:rFonts w:ascii="Calibri" w:eastAsia="Calibri" w:hAnsi="Calibri" w:cs="Times New Roman"/>
      <w:sz w:val="20"/>
      <w:szCs w:val="20"/>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andard">
    <w:name w:val="Standard"/>
    <w:rsid w:val="005B0BA1"/>
    <w:pPr>
      <w:suppressAutoHyphens/>
      <w:autoSpaceDN w:val="0"/>
      <w:spacing w:before="120" w:after="120" w:line="240" w:lineRule="auto"/>
      <w:ind w:firstLine="567"/>
      <w:textAlignment w:val="baseline"/>
    </w:pPr>
    <w:rPr>
      <w:rFonts w:ascii="Times New Roman" w:eastAsia="Times New Roman" w:hAnsi="Times New Roman" w:cs="Times New Roman"/>
      <w:kern w:val="3"/>
      <w:sz w:val="24"/>
      <w:szCs w:val="24"/>
      <w:lang w:val="en-US"/>
    </w:rPr>
  </w:style>
  <w:style w:type="table" w:customStyle="1" w:styleId="Tabelacomgrade3">
    <w:name w:val="Tabela com grade3"/>
    <w:basedOn w:val="Tabelanormal"/>
    <w:next w:val="Tabelacomgrade"/>
    <w:uiPriority w:val="59"/>
    <w:rsid w:val="005B0BA1"/>
    <w:pPr>
      <w:spacing w:line="240" w:lineRule="auto"/>
    </w:pPr>
    <w:rPr>
      <w:rFonts w:ascii="Calibri" w:eastAsia="Calibri" w:hAnsi="Calibri" w:cs="Times New Roman"/>
      <w:sz w:val="20"/>
      <w:szCs w:val="20"/>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elacomgrade4">
    <w:name w:val="Tabela com grade4"/>
    <w:basedOn w:val="Tabelanormal"/>
    <w:next w:val="Tabelacomgrade"/>
    <w:uiPriority w:val="59"/>
    <w:rsid w:val="005B0BA1"/>
    <w:pPr>
      <w:spacing w:line="240" w:lineRule="auto"/>
    </w:pPr>
    <w:rPr>
      <w:rFonts w:ascii="Calibri" w:eastAsia="Calibri" w:hAnsi="Calibri" w:cs="Times New Roman"/>
      <w:sz w:val="20"/>
      <w:szCs w:val="20"/>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rpodetexto">
    <w:name w:val="Body Text"/>
    <w:basedOn w:val="Normal"/>
    <w:link w:val="CorpodetextoChar"/>
    <w:uiPriority w:val="99"/>
    <w:semiHidden/>
    <w:unhideWhenUsed/>
    <w:rsid w:val="00F66811"/>
    <w:pPr>
      <w:spacing w:after="120"/>
    </w:pPr>
  </w:style>
  <w:style w:type="character" w:customStyle="1" w:styleId="CorpodetextoChar">
    <w:name w:val="Corpo de texto Char"/>
    <w:basedOn w:val="Fontepargpadro"/>
    <w:link w:val="Corpodetexto"/>
    <w:uiPriority w:val="99"/>
    <w:semiHidden/>
    <w:rsid w:val="00F66811"/>
    <w:rPr>
      <w:rFonts w:ascii="Calibri" w:eastAsia="Calibri" w:hAnsi="Calibri" w:cs="Times New Roman"/>
    </w:rPr>
  </w:style>
  <w:style w:type="paragraph" w:styleId="NormalWeb">
    <w:name w:val="Normal (Web)"/>
    <w:basedOn w:val="Normal"/>
    <w:uiPriority w:val="99"/>
    <w:unhideWhenUsed/>
    <w:rsid w:val="006028F8"/>
    <w:pPr>
      <w:spacing w:before="100" w:beforeAutospacing="1" w:after="100" w:afterAutospacing="1" w:line="240" w:lineRule="auto"/>
      <w:jc w:val="left"/>
    </w:pPr>
    <w:rPr>
      <w:rFonts w:ascii="Times New Roman" w:eastAsia="Times New Roman" w:hAnsi="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623745">
      <w:bodyDiv w:val="1"/>
      <w:marLeft w:val="0"/>
      <w:marRight w:val="0"/>
      <w:marTop w:val="0"/>
      <w:marBottom w:val="0"/>
      <w:divBdr>
        <w:top w:val="none" w:sz="0" w:space="0" w:color="auto"/>
        <w:left w:val="none" w:sz="0" w:space="0" w:color="auto"/>
        <w:bottom w:val="none" w:sz="0" w:space="0" w:color="auto"/>
        <w:right w:val="none" w:sz="0" w:space="0" w:color="auto"/>
      </w:divBdr>
    </w:div>
    <w:div w:id="346101103">
      <w:bodyDiv w:val="1"/>
      <w:marLeft w:val="0"/>
      <w:marRight w:val="0"/>
      <w:marTop w:val="0"/>
      <w:marBottom w:val="0"/>
      <w:divBdr>
        <w:top w:val="none" w:sz="0" w:space="0" w:color="auto"/>
        <w:left w:val="none" w:sz="0" w:space="0" w:color="auto"/>
        <w:bottom w:val="none" w:sz="0" w:space="0" w:color="auto"/>
        <w:right w:val="none" w:sz="0" w:space="0" w:color="auto"/>
      </w:divBdr>
    </w:div>
    <w:div w:id="560214807">
      <w:bodyDiv w:val="1"/>
      <w:marLeft w:val="0"/>
      <w:marRight w:val="0"/>
      <w:marTop w:val="0"/>
      <w:marBottom w:val="0"/>
      <w:divBdr>
        <w:top w:val="none" w:sz="0" w:space="0" w:color="auto"/>
        <w:left w:val="none" w:sz="0" w:space="0" w:color="auto"/>
        <w:bottom w:val="none" w:sz="0" w:space="0" w:color="auto"/>
        <w:right w:val="none" w:sz="0" w:space="0" w:color="auto"/>
      </w:divBdr>
      <w:divsChild>
        <w:div w:id="1167598548">
          <w:marLeft w:val="0"/>
          <w:marRight w:val="0"/>
          <w:marTop w:val="0"/>
          <w:marBottom w:val="0"/>
          <w:divBdr>
            <w:top w:val="none" w:sz="0" w:space="0" w:color="auto"/>
            <w:left w:val="none" w:sz="0" w:space="0" w:color="auto"/>
            <w:bottom w:val="none" w:sz="0" w:space="0" w:color="auto"/>
            <w:right w:val="none" w:sz="0" w:space="0" w:color="auto"/>
          </w:divBdr>
          <w:divsChild>
            <w:div w:id="824471034">
              <w:marLeft w:val="0"/>
              <w:marRight w:val="0"/>
              <w:marTop w:val="0"/>
              <w:marBottom w:val="0"/>
              <w:divBdr>
                <w:top w:val="none" w:sz="0" w:space="0" w:color="auto"/>
                <w:left w:val="none" w:sz="0" w:space="0" w:color="auto"/>
                <w:bottom w:val="none" w:sz="0" w:space="0" w:color="auto"/>
                <w:right w:val="none" w:sz="0" w:space="0" w:color="auto"/>
              </w:divBdr>
              <w:divsChild>
                <w:div w:id="925651872">
                  <w:marLeft w:val="0"/>
                  <w:marRight w:val="0"/>
                  <w:marTop w:val="0"/>
                  <w:marBottom w:val="0"/>
                  <w:divBdr>
                    <w:top w:val="none" w:sz="0" w:space="0" w:color="auto"/>
                    <w:left w:val="none" w:sz="0" w:space="0" w:color="auto"/>
                    <w:bottom w:val="none" w:sz="0" w:space="0" w:color="auto"/>
                    <w:right w:val="none" w:sz="0" w:space="0" w:color="auto"/>
                  </w:divBdr>
                  <w:divsChild>
                    <w:div w:id="202907004">
                      <w:marLeft w:val="0"/>
                      <w:marRight w:val="0"/>
                      <w:marTop w:val="0"/>
                      <w:marBottom w:val="0"/>
                      <w:divBdr>
                        <w:top w:val="none" w:sz="0" w:space="0" w:color="auto"/>
                        <w:left w:val="none" w:sz="0" w:space="0" w:color="auto"/>
                        <w:bottom w:val="none" w:sz="0" w:space="0" w:color="auto"/>
                        <w:right w:val="none" w:sz="0" w:space="0" w:color="auto"/>
                      </w:divBdr>
                      <w:divsChild>
                        <w:div w:id="1308973830">
                          <w:marLeft w:val="-225"/>
                          <w:marRight w:val="-225"/>
                          <w:marTop w:val="0"/>
                          <w:marBottom w:val="0"/>
                          <w:divBdr>
                            <w:top w:val="none" w:sz="0" w:space="0" w:color="auto"/>
                            <w:left w:val="none" w:sz="0" w:space="0" w:color="auto"/>
                            <w:bottom w:val="none" w:sz="0" w:space="0" w:color="auto"/>
                            <w:right w:val="none" w:sz="0" w:space="0" w:color="auto"/>
                          </w:divBdr>
                          <w:divsChild>
                            <w:div w:id="155808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916943">
      <w:bodyDiv w:val="1"/>
      <w:marLeft w:val="0"/>
      <w:marRight w:val="0"/>
      <w:marTop w:val="0"/>
      <w:marBottom w:val="0"/>
      <w:divBdr>
        <w:top w:val="none" w:sz="0" w:space="0" w:color="auto"/>
        <w:left w:val="none" w:sz="0" w:space="0" w:color="auto"/>
        <w:bottom w:val="none" w:sz="0" w:space="0" w:color="auto"/>
        <w:right w:val="none" w:sz="0" w:space="0" w:color="auto"/>
      </w:divBdr>
    </w:div>
    <w:div w:id="1044015971">
      <w:bodyDiv w:val="1"/>
      <w:marLeft w:val="0"/>
      <w:marRight w:val="0"/>
      <w:marTop w:val="0"/>
      <w:marBottom w:val="0"/>
      <w:divBdr>
        <w:top w:val="none" w:sz="0" w:space="0" w:color="auto"/>
        <w:left w:val="none" w:sz="0" w:space="0" w:color="auto"/>
        <w:bottom w:val="none" w:sz="0" w:space="0" w:color="auto"/>
        <w:right w:val="none" w:sz="0" w:space="0" w:color="auto"/>
      </w:divBdr>
    </w:div>
    <w:div w:id="1077635520">
      <w:bodyDiv w:val="1"/>
      <w:marLeft w:val="0"/>
      <w:marRight w:val="0"/>
      <w:marTop w:val="0"/>
      <w:marBottom w:val="0"/>
      <w:divBdr>
        <w:top w:val="none" w:sz="0" w:space="0" w:color="auto"/>
        <w:left w:val="none" w:sz="0" w:space="0" w:color="auto"/>
        <w:bottom w:val="none" w:sz="0" w:space="0" w:color="auto"/>
        <w:right w:val="none" w:sz="0" w:space="0" w:color="auto"/>
      </w:divBdr>
    </w:div>
    <w:div w:id="1131022758">
      <w:bodyDiv w:val="1"/>
      <w:marLeft w:val="0"/>
      <w:marRight w:val="0"/>
      <w:marTop w:val="0"/>
      <w:marBottom w:val="0"/>
      <w:divBdr>
        <w:top w:val="none" w:sz="0" w:space="0" w:color="auto"/>
        <w:left w:val="none" w:sz="0" w:space="0" w:color="auto"/>
        <w:bottom w:val="none" w:sz="0" w:space="0" w:color="auto"/>
        <w:right w:val="none" w:sz="0" w:space="0" w:color="auto"/>
      </w:divBdr>
    </w:div>
    <w:div w:id="1190797308">
      <w:bodyDiv w:val="1"/>
      <w:marLeft w:val="0"/>
      <w:marRight w:val="0"/>
      <w:marTop w:val="0"/>
      <w:marBottom w:val="0"/>
      <w:divBdr>
        <w:top w:val="none" w:sz="0" w:space="0" w:color="auto"/>
        <w:left w:val="none" w:sz="0" w:space="0" w:color="auto"/>
        <w:bottom w:val="none" w:sz="0" w:space="0" w:color="auto"/>
        <w:right w:val="none" w:sz="0" w:space="0" w:color="auto"/>
      </w:divBdr>
    </w:div>
    <w:div w:id="1228029672">
      <w:bodyDiv w:val="1"/>
      <w:marLeft w:val="0"/>
      <w:marRight w:val="0"/>
      <w:marTop w:val="0"/>
      <w:marBottom w:val="0"/>
      <w:divBdr>
        <w:top w:val="none" w:sz="0" w:space="0" w:color="auto"/>
        <w:left w:val="none" w:sz="0" w:space="0" w:color="auto"/>
        <w:bottom w:val="none" w:sz="0" w:space="0" w:color="auto"/>
        <w:right w:val="none" w:sz="0" w:space="0" w:color="auto"/>
      </w:divBdr>
      <w:divsChild>
        <w:div w:id="396705294">
          <w:marLeft w:val="0"/>
          <w:marRight w:val="0"/>
          <w:marTop w:val="0"/>
          <w:marBottom w:val="0"/>
          <w:divBdr>
            <w:top w:val="none" w:sz="0" w:space="0" w:color="auto"/>
            <w:left w:val="none" w:sz="0" w:space="0" w:color="auto"/>
            <w:bottom w:val="none" w:sz="0" w:space="0" w:color="auto"/>
            <w:right w:val="none" w:sz="0" w:space="0" w:color="auto"/>
          </w:divBdr>
        </w:div>
      </w:divsChild>
    </w:div>
    <w:div w:id="1343778253">
      <w:bodyDiv w:val="1"/>
      <w:marLeft w:val="0"/>
      <w:marRight w:val="0"/>
      <w:marTop w:val="0"/>
      <w:marBottom w:val="0"/>
      <w:divBdr>
        <w:top w:val="none" w:sz="0" w:space="0" w:color="auto"/>
        <w:left w:val="none" w:sz="0" w:space="0" w:color="auto"/>
        <w:bottom w:val="none" w:sz="0" w:space="0" w:color="auto"/>
        <w:right w:val="none" w:sz="0" w:space="0" w:color="auto"/>
      </w:divBdr>
    </w:div>
    <w:div w:id="1644314680">
      <w:bodyDiv w:val="1"/>
      <w:marLeft w:val="0"/>
      <w:marRight w:val="0"/>
      <w:marTop w:val="0"/>
      <w:marBottom w:val="0"/>
      <w:divBdr>
        <w:top w:val="none" w:sz="0" w:space="0" w:color="auto"/>
        <w:left w:val="none" w:sz="0" w:space="0" w:color="auto"/>
        <w:bottom w:val="none" w:sz="0" w:space="0" w:color="auto"/>
        <w:right w:val="none" w:sz="0" w:space="0" w:color="auto"/>
      </w:divBdr>
    </w:div>
    <w:div w:id="165714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automariola\AppData\Local\Microsoft\Windows\Temporary%20Internet%20Files\Content.MSO\AE4DA743.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BDA1A-ACEB-4FF8-84AA-C76E16576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AE4DA743.dotx</Template>
  <TotalTime>5996</TotalTime>
  <Pages>1</Pages>
  <Words>411</Words>
  <Characters>2223</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3seven</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adautomariola</dc:creator>
  <cp:lastModifiedBy>adautomariola</cp:lastModifiedBy>
  <cp:revision>180</cp:revision>
  <cp:lastPrinted>2019-10-18T19:06:00Z</cp:lastPrinted>
  <dcterms:created xsi:type="dcterms:W3CDTF">2017-08-11T10:28:00Z</dcterms:created>
  <dcterms:modified xsi:type="dcterms:W3CDTF">2020-03-09T12:51:00Z</dcterms:modified>
</cp:coreProperties>
</file>