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CB1" w:rsidRP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bookmarkStart w:id="0" w:name="_Hlk536717685"/>
      <w:r w:rsidRPr="00D67CB1">
        <w:rPr>
          <w:rFonts w:ascii="Century Gothic" w:hAnsi="Century Gothic" w:cs="Arial Black"/>
          <w:b/>
          <w:bCs/>
        </w:rPr>
        <w:t>INSTITUTO DE PREVIDÊNCIA DO MUNICÍPIO DE VOTUPORANGA</w:t>
      </w:r>
    </w:p>
    <w:p w:rsid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r w:rsidRPr="00D67CB1">
        <w:rPr>
          <w:rFonts w:ascii="Century Gothic" w:hAnsi="Century Gothic" w:cs="Arial Black"/>
          <w:b/>
          <w:bCs/>
        </w:rPr>
        <w:t>COMITÊ DE INVESTIMENTOS</w:t>
      </w:r>
    </w:p>
    <w:p w:rsidR="00EF3BEB" w:rsidRDefault="00EF3BEB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</w:p>
    <w:p w:rsidR="00EA4BD7" w:rsidRPr="00EA4BD7" w:rsidRDefault="001D67ED" w:rsidP="00F91624">
      <w:pPr>
        <w:tabs>
          <w:tab w:val="left" w:pos="8364"/>
        </w:tabs>
        <w:autoSpaceDE w:val="0"/>
        <w:autoSpaceDN w:val="0"/>
        <w:adjustRightInd w:val="0"/>
        <w:spacing w:line="240" w:lineRule="auto"/>
        <w:rPr>
          <w:rFonts w:ascii="Century Gothic" w:hAnsi="Century Gothic" w:cs="Arial"/>
          <w:shd w:val="clear" w:color="auto" w:fill="FFFFFF"/>
        </w:rPr>
      </w:pPr>
      <w:r w:rsidRPr="00996525">
        <w:rPr>
          <w:rFonts w:ascii="Century Gothic" w:hAnsi="Century Gothic" w:cs="Arial"/>
          <w:b/>
        </w:rPr>
        <w:t xml:space="preserve">Ata n° </w:t>
      </w:r>
      <w:r w:rsidR="004C1A06">
        <w:rPr>
          <w:rFonts w:ascii="Century Gothic" w:hAnsi="Century Gothic" w:cs="Arial"/>
          <w:b/>
        </w:rPr>
        <w:t>90</w:t>
      </w:r>
      <w:r w:rsidRPr="00996525">
        <w:rPr>
          <w:rFonts w:ascii="Century Gothic" w:hAnsi="Century Gothic" w:cs="Arial"/>
          <w:b/>
        </w:rPr>
        <w:t>ª/20</w:t>
      </w:r>
      <w:r w:rsidR="000517D1">
        <w:rPr>
          <w:rFonts w:ascii="Century Gothic" w:hAnsi="Century Gothic" w:cs="Arial"/>
          <w:b/>
        </w:rPr>
        <w:t>20</w:t>
      </w:r>
      <w:r w:rsidRPr="00996525">
        <w:rPr>
          <w:rFonts w:ascii="Century Gothic" w:hAnsi="Century Gothic" w:cs="Arial"/>
        </w:rPr>
        <w:t xml:space="preserve"> - Aos </w:t>
      </w:r>
      <w:r w:rsidR="004C1A06">
        <w:rPr>
          <w:rFonts w:ascii="Century Gothic" w:hAnsi="Century Gothic" w:cs="Arial"/>
        </w:rPr>
        <w:t>08</w:t>
      </w:r>
      <w:r w:rsidR="00856158" w:rsidRPr="00996525">
        <w:rPr>
          <w:rFonts w:ascii="Century Gothic" w:hAnsi="Century Gothic" w:cs="Arial"/>
        </w:rPr>
        <w:t xml:space="preserve"> </w:t>
      </w:r>
      <w:r w:rsidRPr="00996525">
        <w:rPr>
          <w:rFonts w:ascii="Century Gothic" w:hAnsi="Century Gothic" w:cs="Arial"/>
        </w:rPr>
        <w:t xml:space="preserve">dias do mês de </w:t>
      </w:r>
      <w:r w:rsidR="004C1A06">
        <w:rPr>
          <w:rFonts w:ascii="Century Gothic" w:hAnsi="Century Gothic" w:cs="Arial"/>
        </w:rPr>
        <w:t>maio</w:t>
      </w:r>
      <w:r w:rsidR="00FF0287" w:rsidRPr="00996525">
        <w:rPr>
          <w:rFonts w:ascii="Century Gothic" w:hAnsi="Century Gothic" w:cs="Arial"/>
        </w:rPr>
        <w:t xml:space="preserve"> </w:t>
      </w:r>
      <w:r w:rsidR="00A6501E" w:rsidRPr="00996525">
        <w:rPr>
          <w:rFonts w:ascii="Century Gothic" w:hAnsi="Century Gothic" w:cs="Arial"/>
        </w:rPr>
        <w:t>do</w:t>
      </w:r>
      <w:r w:rsidRPr="00996525">
        <w:rPr>
          <w:rFonts w:ascii="Century Gothic" w:hAnsi="Century Gothic" w:cs="Arial"/>
        </w:rPr>
        <w:t xml:space="preserve"> ano de </w:t>
      </w:r>
      <w:r w:rsidR="00657DE9">
        <w:rPr>
          <w:rFonts w:ascii="Century Gothic" w:hAnsi="Century Gothic" w:cs="Arial"/>
        </w:rPr>
        <w:t>2020</w:t>
      </w:r>
      <w:r w:rsidR="00856158" w:rsidRPr="00996525">
        <w:rPr>
          <w:rFonts w:ascii="Century Gothic" w:hAnsi="Century Gothic" w:cs="Arial"/>
        </w:rPr>
        <w:t xml:space="preserve">, às </w:t>
      </w:r>
      <w:r w:rsidR="00A8385C">
        <w:rPr>
          <w:rFonts w:ascii="Century Gothic" w:hAnsi="Century Gothic" w:cs="Arial"/>
        </w:rPr>
        <w:t>1</w:t>
      </w:r>
      <w:r w:rsidR="005F2990">
        <w:rPr>
          <w:rFonts w:ascii="Century Gothic" w:hAnsi="Century Gothic" w:cs="Arial"/>
        </w:rPr>
        <w:t>6</w:t>
      </w:r>
      <w:r w:rsidR="001B5A68">
        <w:rPr>
          <w:rFonts w:ascii="Century Gothic" w:hAnsi="Century Gothic" w:cs="Arial"/>
        </w:rPr>
        <w:t>:00hs</w:t>
      </w:r>
      <w:r w:rsidRPr="00996525">
        <w:rPr>
          <w:rFonts w:ascii="Century Gothic" w:hAnsi="Century Gothic" w:cs="Arial"/>
        </w:rPr>
        <w:t>,</w:t>
      </w:r>
      <w:r w:rsidR="005F2990">
        <w:rPr>
          <w:rFonts w:ascii="Century Gothic" w:hAnsi="Century Gothic" w:cs="Arial"/>
        </w:rPr>
        <w:t xml:space="preserve"> após a </w:t>
      </w:r>
      <w:proofErr w:type="spellStart"/>
      <w:r w:rsidR="005F2990">
        <w:rPr>
          <w:rFonts w:ascii="Century Gothic" w:hAnsi="Century Gothic" w:cs="Arial"/>
        </w:rPr>
        <w:t>live</w:t>
      </w:r>
      <w:proofErr w:type="spellEnd"/>
      <w:r w:rsidR="005F2990">
        <w:rPr>
          <w:rFonts w:ascii="Century Gothic" w:hAnsi="Century Gothic" w:cs="Arial"/>
        </w:rPr>
        <w:t xml:space="preserve"> com especialista em investimentos da Caixa Federal, </w:t>
      </w:r>
      <w:r w:rsidRPr="00996525">
        <w:rPr>
          <w:rFonts w:ascii="Century Gothic" w:hAnsi="Century Gothic" w:cs="Arial"/>
        </w:rPr>
        <w:t>os membros do comitê de investimentos</w:t>
      </w:r>
      <w:r w:rsidR="005F2990" w:rsidRPr="005F2990">
        <w:rPr>
          <w:rFonts w:ascii="Century Gothic" w:hAnsi="Century Gothic" w:cs="Arial"/>
        </w:rPr>
        <w:t xml:space="preserve"> </w:t>
      </w:r>
      <w:r w:rsidR="005F2990" w:rsidRPr="00996525">
        <w:rPr>
          <w:rFonts w:ascii="Century Gothic" w:hAnsi="Century Gothic" w:cs="Arial"/>
        </w:rPr>
        <w:t>reuniram-se</w:t>
      </w:r>
      <w:r w:rsidR="005F2990" w:rsidRPr="005F2990">
        <w:rPr>
          <w:rFonts w:ascii="Century Gothic" w:hAnsi="Century Gothic" w:cs="Arial"/>
        </w:rPr>
        <w:t xml:space="preserve"> </w:t>
      </w:r>
      <w:r w:rsidR="005F2990">
        <w:rPr>
          <w:rFonts w:ascii="Century Gothic" w:hAnsi="Century Gothic" w:cs="Arial"/>
        </w:rPr>
        <w:t>por telefone/WhatsApp</w:t>
      </w:r>
      <w:r w:rsidR="005319F4" w:rsidRPr="00996525">
        <w:rPr>
          <w:rFonts w:ascii="Century Gothic" w:hAnsi="Century Gothic" w:cs="Arial"/>
        </w:rPr>
        <w:t>.</w:t>
      </w:r>
      <w:r w:rsidR="00AE73BD">
        <w:rPr>
          <w:rFonts w:ascii="Century Gothic" w:hAnsi="Century Gothic" w:cs="Arial"/>
        </w:rPr>
        <w:t xml:space="preserve"> </w:t>
      </w:r>
      <w:r w:rsidR="00F91624">
        <w:rPr>
          <w:rFonts w:ascii="Century Gothic" w:hAnsi="Century Gothic" w:cs="Arial"/>
        </w:rPr>
        <w:t>Como o resultado do IPCA sai somente dia 10, o</w:t>
      </w:r>
      <w:r w:rsidR="00AE73BD">
        <w:rPr>
          <w:rFonts w:ascii="Century Gothic" w:hAnsi="Century Gothic" w:cs="Arial"/>
        </w:rPr>
        <w:t xml:space="preserve"> P</w:t>
      </w:r>
      <w:r w:rsidR="00CA1AEF" w:rsidRPr="00996525">
        <w:rPr>
          <w:rFonts w:ascii="Century Gothic" w:hAnsi="Century Gothic"/>
        </w:rPr>
        <w:t>residente</w:t>
      </w:r>
      <w:r w:rsidR="00B30B3A">
        <w:rPr>
          <w:rFonts w:ascii="Century Gothic" w:hAnsi="Century Gothic"/>
        </w:rPr>
        <w:t xml:space="preserve">, </w:t>
      </w:r>
      <w:r w:rsidR="00CA1AEF" w:rsidRPr="00996525">
        <w:rPr>
          <w:rFonts w:ascii="Century Gothic" w:hAnsi="Century Gothic"/>
        </w:rPr>
        <w:t xml:space="preserve">iniciou a reunião </w:t>
      </w:r>
      <w:r w:rsidR="00F91624">
        <w:rPr>
          <w:rFonts w:ascii="Century Gothic" w:hAnsi="Century Gothic"/>
        </w:rPr>
        <w:t xml:space="preserve">demonstrando apenas a rentabilidade prévia do </w:t>
      </w:r>
      <w:r w:rsidR="00677E0F" w:rsidRPr="00643D1C">
        <w:rPr>
          <w:rFonts w:ascii="Century Gothic" w:hAnsi="Century Gothic"/>
        </w:rPr>
        <w:t xml:space="preserve">mês de </w:t>
      </w:r>
      <w:r w:rsidR="004C1A06" w:rsidRPr="00643D1C">
        <w:rPr>
          <w:rFonts w:ascii="Century Gothic" w:hAnsi="Century Gothic"/>
        </w:rPr>
        <w:t>abril</w:t>
      </w:r>
      <w:r w:rsidR="00F91624">
        <w:rPr>
          <w:rFonts w:ascii="Century Gothic" w:hAnsi="Century Gothic"/>
        </w:rPr>
        <w:t xml:space="preserve">, que ficou positiva em 1,06%.  </w:t>
      </w:r>
      <w:r w:rsidR="00EA4BD7" w:rsidRPr="00EA4BD7">
        <w:rPr>
          <w:rFonts w:ascii="Century Gothic" w:hAnsi="Century Gothic" w:cs="Arial"/>
          <w:shd w:val="clear" w:color="auto" w:fill="FFFFFF"/>
        </w:rPr>
        <w:t>Ontem na reunião do Copom, o Banco Central reduziu a Selic de 3,75 para 3 por cento. O mercado esperava uma queda de apenas 50 pontos, mas foi surpreendido pela decisão de uma queda maior. No comunicado da divulgação, alguns pontos valem o destaque:</w:t>
      </w:r>
      <w:r w:rsidR="00EA4BD7">
        <w:rPr>
          <w:rFonts w:ascii="Century Gothic" w:hAnsi="Century Gothic" w:cs="Arial"/>
          <w:shd w:val="clear" w:color="auto" w:fill="FFFFFF"/>
        </w:rPr>
        <w:t xml:space="preserve"> </w:t>
      </w:r>
      <w:r w:rsidR="00EA4BD7" w:rsidRPr="00EA4BD7">
        <w:rPr>
          <w:rFonts w:ascii="Century Gothic" w:hAnsi="Century Gothic" w:cs="Arial"/>
          <w:shd w:val="clear" w:color="auto" w:fill="FFFFFF"/>
        </w:rPr>
        <w:t xml:space="preserve">A projeção do modelo de inflação do Banco Central, aquele que ele usa para calibrar a política monetária, caiu e se encontra abaixo da meta de inflação de 2020 e 2021. </w:t>
      </w:r>
      <w:r w:rsidR="00F91624">
        <w:rPr>
          <w:rFonts w:ascii="Century Gothic" w:hAnsi="Century Gothic" w:cs="Arial"/>
          <w:shd w:val="clear" w:color="auto" w:fill="FFFFFF"/>
        </w:rPr>
        <w:t>As</w:t>
      </w:r>
      <w:r w:rsidR="00EA4BD7" w:rsidRPr="00EA4BD7">
        <w:rPr>
          <w:rFonts w:ascii="Century Gothic" w:hAnsi="Century Gothic" w:cs="Arial"/>
          <w:shd w:val="clear" w:color="auto" w:fill="FFFFFF"/>
        </w:rPr>
        <w:t xml:space="preserve"> projeções do Copom situam-se em torno de 2,4</w:t>
      </w:r>
      <w:r w:rsidR="00F91624">
        <w:rPr>
          <w:rFonts w:ascii="Century Gothic" w:hAnsi="Century Gothic" w:cs="Arial"/>
          <w:shd w:val="clear" w:color="auto" w:fill="FFFFFF"/>
        </w:rPr>
        <w:t>%</w:t>
      </w:r>
      <w:r w:rsidR="00EA4BD7" w:rsidRPr="00EA4BD7">
        <w:rPr>
          <w:rFonts w:ascii="Century Gothic" w:hAnsi="Century Gothic" w:cs="Arial"/>
          <w:shd w:val="clear" w:color="auto" w:fill="FFFFFF"/>
        </w:rPr>
        <w:t xml:space="preserve"> para 2020 e 3,4</w:t>
      </w:r>
      <w:r w:rsidR="001E148F">
        <w:rPr>
          <w:rFonts w:ascii="Century Gothic" w:hAnsi="Century Gothic" w:cs="Arial"/>
          <w:shd w:val="clear" w:color="auto" w:fill="FFFFFF"/>
        </w:rPr>
        <w:t>%</w:t>
      </w:r>
      <w:r w:rsidR="00EA4BD7" w:rsidRPr="00EA4BD7">
        <w:rPr>
          <w:rFonts w:ascii="Century Gothic" w:hAnsi="Century Gothic" w:cs="Arial"/>
          <w:shd w:val="clear" w:color="auto" w:fill="FFFFFF"/>
        </w:rPr>
        <w:t xml:space="preserve"> para 2021. </w:t>
      </w:r>
      <w:r w:rsidR="001E148F">
        <w:rPr>
          <w:rFonts w:ascii="Century Gothic" w:hAnsi="Century Gothic" w:cs="Arial"/>
          <w:shd w:val="clear" w:color="auto" w:fill="FFFFFF"/>
        </w:rPr>
        <w:t xml:space="preserve"> </w:t>
      </w:r>
      <w:r w:rsidR="00EA4BD7" w:rsidRPr="00EA4BD7">
        <w:rPr>
          <w:rFonts w:ascii="Century Gothic" w:hAnsi="Century Gothic" w:cs="Arial"/>
          <w:shd w:val="clear" w:color="auto" w:fill="FFFFFF"/>
        </w:rPr>
        <w:t>Lembrando que a me</w:t>
      </w:r>
      <w:r w:rsidR="001E148F">
        <w:rPr>
          <w:rFonts w:ascii="Century Gothic" w:hAnsi="Century Gothic" w:cs="Arial"/>
          <w:shd w:val="clear" w:color="auto" w:fill="FFFFFF"/>
        </w:rPr>
        <w:t>ta de inflação para 2020 é de 4%</w:t>
      </w:r>
      <w:r w:rsidR="00EA4BD7" w:rsidRPr="00EA4BD7">
        <w:rPr>
          <w:rFonts w:ascii="Century Gothic" w:hAnsi="Century Gothic" w:cs="Arial"/>
          <w:shd w:val="clear" w:color="auto" w:fill="FFFFFF"/>
        </w:rPr>
        <w:t>e para 2021 é de 3,75</w:t>
      </w:r>
      <w:r w:rsidR="001E148F">
        <w:rPr>
          <w:rFonts w:ascii="Century Gothic" w:hAnsi="Century Gothic" w:cs="Arial"/>
          <w:shd w:val="clear" w:color="auto" w:fill="FFFFFF"/>
        </w:rPr>
        <w:t>%</w:t>
      </w:r>
      <w:r w:rsidR="00EA4BD7" w:rsidRPr="00EA4BD7">
        <w:rPr>
          <w:rFonts w:ascii="Century Gothic" w:hAnsi="Century Gothic" w:cs="Arial"/>
          <w:shd w:val="clear" w:color="auto" w:fill="FFFFFF"/>
        </w:rPr>
        <w:t xml:space="preserve">. Se o BC não caísse mais os juros, ele correria o risco de não cumprir a meta de 2020 (que já está perdida de qualquer forma) e de 2021. O </w:t>
      </w:r>
      <w:r w:rsidR="00F91624">
        <w:rPr>
          <w:rFonts w:ascii="Century Gothic" w:hAnsi="Century Gothic" w:cs="Arial"/>
          <w:shd w:val="clear" w:color="auto" w:fill="FFFFFF"/>
        </w:rPr>
        <w:t>COPOM</w:t>
      </w:r>
      <w:r w:rsidR="00EA4BD7" w:rsidRPr="00EA4BD7">
        <w:rPr>
          <w:rFonts w:ascii="Century Gothic" w:hAnsi="Century Gothic" w:cs="Arial"/>
          <w:shd w:val="clear" w:color="auto" w:fill="FFFFFF"/>
        </w:rPr>
        <w:t xml:space="preserve"> achou sensato sinalizar que a próxima reunião, caso tudo continuasse mais ou menos igual, contaria com mais uma queda de 75 pontos, o que levaria a Selic para 2,25</w:t>
      </w:r>
      <w:r w:rsidR="001E148F">
        <w:rPr>
          <w:rFonts w:ascii="Century Gothic" w:hAnsi="Century Gothic" w:cs="Arial"/>
          <w:shd w:val="clear" w:color="auto" w:fill="FFFFFF"/>
        </w:rPr>
        <w:t>%</w:t>
      </w:r>
      <w:r w:rsidR="00EA4BD7" w:rsidRPr="00EA4BD7">
        <w:rPr>
          <w:rFonts w:ascii="Century Gothic" w:hAnsi="Century Gothic" w:cs="Arial"/>
          <w:shd w:val="clear" w:color="auto" w:fill="FFFFFF"/>
        </w:rPr>
        <w:t>.</w:t>
      </w:r>
      <w:r w:rsidR="00F91624">
        <w:rPr>
          <w:rFonts w:ascii="Century Gothic" w:hAnsi="Century Gothic" w:cs="Arial"/>
          <w:shd w:val="clear" w:color="auto" w:fill="FFFFFF"/>
        </w:rPr>
        <w:t xml:space="preserve"> </w:t>
      </w:r>
      <w:r w:rsidR="00EA4BD7" w:rsidRPr="00EA4BD7">
        <w:rPr>
          <w:rFonts w:ascii="Century Gothic" w:hAnsi="Century Gothic" w:cs="Arial"/>
          <w:shd w:val="clear" w:color="auto" w:fill="FFFFFF"/>
        </w:rPr>
        <w:t xml:space="preserve">Para a próxima reunião, condicional ao cenário fiscal e à conjuntura econômica, o </w:t>
      </w:r>
      <w:r w:rsidR="00F91624">
        <w:rPr>
          <w:rFonts w:ascii="Century Gothic" w:hAnsi="Century Gothic" w:cs="Arial"/>
          <w:shd w:val="clear" w:color="auto" w:fill="FFFFFF"/>
        </w:rPr>
        <w:t>COPOM</w:t>
      </w:r>
      <w:r w:rsidR="00EA4BD7" w:rsidRPr="00EA4BD7">
        <w:rPr>
          <w:rFonts w:ascii="Century Gothic" w:hAnsi="Century Gothic" w:cs="Arial"/>
          <w:shd w:val="clear" w:color="auto" w:fill="FFFFFF"/>
        </w:rPr>
        <w:t xml:space="preserve"> considera um último ajuste, não maior do que o atual, para complementar o grau de estímulo necessário como reação às consequências econômicas da pandemia da Covid-19. No entanto, reconhece que se elevou a variância do seu balanço de riscos e ressalta que novas informações sobre os efeitos da pandemia, assim como uma diminuição das incertezas no âmbito fiscal, serão essenciais para definir seus próximos passos.</w:t>
      </w:r>
      <w:r w:rsidR="001E148F">
        <w:rPr>
          <w:rFonts w:ascii="Century Gothic" w:hAnsi="Century Gothic" w:cs="Arial"/>
          <w:shd w:val="clear" w:color="auto" w:fill="FFFFFF"/>
        </w:rPr>
        <w:t xml:space="preserve"> </w:t>
      </w:r>
      <w:r w:rsidR="00EA4BD7" w:rsidRPr="00EA4BD7">
        <w:rPr>
          <w:rFonts w:ascii="Century Gothic" w:hAnsi="Century Gothic" w:cs="Arial"/>
          <w:shd w:val="clear" w:color="auto" w:fill="FFFFFF"/>
        </w:rPr>
        <w:t>A primeira consequência é que os seus investimentos pós-fixados (como o Tesouro Selic) vão render menos a partir de amanhã. Mas seguirão com retornos positivos, o que é um grande diferencial para o momento atual tão conturbado.</w:t>
      </w:r>
      <w:r w:rsidR="001E148F">
        <w:rPr>
          <w:rFonts w:ascii="Century Gothic" w:hAnsi="Century Gothic" w:cs="Arial"/>
          <w:shd w:val="clear" w:color="auto" w:fill="FFFFFF"/>
        </w:rPr>
        <w:t xml:space="preserve"> </w:t>
      </w:r>
      <w:r w:rsidR="00EA4BD7" w:rsidRPr="00EA4BD7">
        <w:rPr>
          <w:rFonts w:ascii="Century Gothic" w:hAnsi="Century Gothic" w:cs="Arial"/>
          <w:shd w:val="clear" w:color="auto" w:fill="FFFFFF"/>
        </w:rPr>
        <w:t xml:space="preserve">Ter investimentos em pós-fixados de crédito privado é uma boa alternativa para buscar um pouco mais de retorno, sem ter que incorrer em riscos de perda com marcação a mercado. </w:t>
      </w:r>
    </w:p>
    <w:p w:rsidR="00EA4BD7" w:rsidRPr="00EA4BD7" w:rsidRDefault="00F91624" w:rsidP="00F91624">
      <w:pPr>
        <w:tabs>
          <w:tab w:val="left" w:pos="8364"/>
        </w:tabs>
        <w:autoSpaceDE w:val="0"/>
        <w:autoSpaceDN w:val="0"/>
        <w:adjustRightInd w:val="0"/>
        <w:spacing w:line="240" w:lineRule="auto"/>
        <w:rPr>
          <w:rFonts w:ascii="Century Gothic" w:hAnsi="Century Gothic" w:cs="Arial"/>
          <w:shd w:val="clear" w:color="auto" w:fill="FFFFFF"/>
        </w:rPr>
      </w:pPr>
      <w:r>
        <w:rPr>
          <w:rFonts w:ascii="Century Gothic" w:hAnsi="Century Gothic" w:cs="Arial"/>
          <w:shd w:val="clear" w:color="auto" w:fill="FFFFFF"/>
        </w:rPr>
        <w:t>V</w:t>
      </w:r>
      <w:r w:rsidR="00EA4BD7" w:rsidRPr="00EA4BD7">
        <w:rPr>
          <w:rFonts w:ascii="Century Gothic" w:hAnsi="Century Gothic" w:cs="Arial"/>
          <w:shd w:val="clear" w:color="auto" w:fill="FFFFFF"/>
        </w:rPr>
        <w:t xml:space="preserve">eja o que acontece com os prefixados de vencimento próximo e com os prefixados e indexados à inflação (Tesouro IPCA+) de vencimento mais longo. </w:t>
      </w:r>
    </w:p>
    <w:p w:rsidR="00EA4BD7" w:rsidRPr="00EA4BD7" w:rsidRDefault="00EA4BD7" w:rsidP="00F91624">
      <w:pPr>
        <w:tabs>
          <w:tab w:val="left" w:pos="8364"/>
        </w:tabs>
        <w:autoSpaceDE w:val="0"/>
        <w:autoSpaceDN w:val="0"/>
        <w:adjustRightInd w:val="0"/>
        <w:spacing w:line="240" w:lineRule="auto"/>
        <w:rPr>
          <w:rFonts w:ascii="Century Gothic" w:hAnsi="Century Gothic" w:cs="Arial"/>
          <w:shd w:val="clear" w:color="auto" w:fill="FFFFFF"/>
        </w:rPr>
      </w:pPr>
      <w:r w:rsidRPr="00EA4BD7">
        <w:rPr>
          <w:rFonts w:ascii="Century Gothic" w:hAnsi="Century Gothic" w:cs="Arial"/>
          <w:shd w:val="clear" w:color="auto" w:fill="FFFFFF"/>
        </w:rPr>
        <w:t xml:space="preserve">Os prefixados curtíssimos, de até 2 anos, devem ter quedas de taxa em torno de 20 pontos (ou 0,20 por cento), o que traria um retorno para os títulos de aproximadamente 0,50 por cento. </w:t>
      </w:r>
    </w:p>
    <w:p w:rsidR="00EA4BD7" w:rsidRPr="00EA4BD7" w:rsidRDefault="00EA4BD7" w:rsidP="00F91624">
      <w:pPr>
        <w:tabs>
          <w:tab w:val="left" w:pos="8364"/>
        </w:tabs>
        <w:autoSpaceDE w:val="0"/>
        <w:autoSpaceDN w:val="0"/>
        <w:adjustRightInd w:val="0"/>
        <w:spacing w:line="240" w:lineRule="auto"/>
        <w:rPr>
          <w:rFonts w:ascii="Century Gothic" w:hAnsi="Century Gothic" w:cs="Arial"/>
          <w:shd w:val="clear" w:color="auto" w:fill="FFFFFF"/>
        </w:rPr>
      </w:pPr>
      <w:r w:rsidRPr="00EA4BD7">
        <w:rPr>
          <w:rFonts w:ascii="Century Gothic" w:hAnsi="Century Gothic" w:cs="Arial"/>
          <w:shd w:val="clear" w:color="auto" w:fill="FFFFFF"/>
        </w:rPr>
        <w:t xml:space="preserve">Por um lado, o mercado pode entender que essa queda está sendo demasiada, ainda mais em um momento de piora fiscal e desvalorização cambial. </w:t>
      </w:r>
      <w:r w:rsidRPr="00F91624">
        <w:rPr>
          <w:rFonts w:ascii="Century Gothic" w:hAnsi="Century Gothic" w:cs="Arial"/>
          <w:u w:val="single"/>
          <w:shd w:val="clear" w:color="auto" w:fill="FFFFFF"/>
        </w:rPr>
        <w:t xml:space="preserve">Neste caso, veríamos as taxas subirem e os títulos prefixados e indexados à inflação se desvalorizarem. </w:t>
      </w:r>
      <w:r w:rsidRPr="00EA4BD7">
        <w:rPr>
          <w:rFonts w:ascii="Century Gothic" w:hAnsi="Century Gothic" w:cs="Arial"/>
          <w:shd w:val="clear" w:color="auto" w:fill="FFFFFF"/>
        </w:rPr>
        <w:t>A aprovação da ajuda aos estados e municípios na Câmara, que aconteceu ontem, colabora para essa narrativa. Os deputados aumentaram os setores que ficam fora do congelamento de salários como contrapartida da ajuda fiscal fe</w:t>
      </w:r>
      <w:r w:rsidR="00F91624">
        <w:rPr>
          <w:rFonts w:ascii="Century Gothic" w:hAnsi="Century Gothic" w:cs="Arial"/>
          <w:shd w:val="clear" w:color="auto" w:fill="FFFFFF"/>
        </w:rPr>
        <w:t>d</w:t>
      </w:r>
      <w:r w:rsidRPr="00EA4BD7">
        <w:rPr>
          <w:rFonts w:ascii="Century Gothic" w:hAnsi="Century Gothic" w:cs="Arial"/>
          <w:shd w:val="clear" w:color="auto" w:fill="FFFFFF"/>
        </w:rPr>
        <w:t xml:space="preserve">eral. Com isso, a economia prevista cai de 96 bilhões para 40 bilhões.   </w:t>
      </w:r>
    </w:p>
    <w:p w:rsidR="00EA4BD7" w:rsidRPr="00EA4BD7" w:rsidRDefault="00EA4BD7" w:rsidP="00F91624">
      <w:pPr>
        <w:tabs>
          <w:tab w:val="left" w:pos="8364"/>
        </w:tabs>
        <w:autoSpaceDE w:val="0"/>
        <w:autoSpaceDN w:val="0"/>
        <w:adjustRightInd w:val="0"/>
        <w:spacing w:line="240" w:lineRule="auto"/>
        <w:rPr>
          <w:rFonts w:ascii="Century Gothic" w:hAnsi="Century Gothic" w:cs="Arial"/>
          <w:shd w:val="clear" w:color="auto" w:fill="FFFFFF"/>
        </w:rPr>
      </w:pPr>
      <w:r w:rsidRPr="00EA4BD7">
        <w:rPr>
          <w:rFonts w:ascii="Century Gothic" w:hAnsi="Century Gothic" w:cs="Arial"/>
          <w:shd w:val="clear" w:color="auto" w:fill="FFFFFF"/>
        </w:rPr>
        <w:t xml:space="preserve">Por outro lado, o mercado poderia cair os juros longos, menos do que os curtos, mas com alguma queda, vislumbrando que será necessário menos juros para o momento de baixo crescimento atual. Neste caso, os títulos longos devem ter uma performance estável ou de leve ganho.  </w:t>
      </w:r>
    </w:p>
    <w:p w:rsidR="00EA4BD7" w:rsidRPr="00EA4BD7" w:rsidRDefault="00EA4BD7" w:rsidP="00F91624">
      <w:pPr>
        <w:tabs>
          <w:tab w:val="left" w:pos="8364"/>
        </w:tabs>
        <w:autoSpaceDE w:val="0"/>
        <w:autoSpaceDN w:val="0"/>
        <w:adjustRightInd w:val="0"/>
        <w:spacing w:line="240" w:lineRule="auto"/>
        <w:rPr>
          <w:rFonts w:ascii="Century Gothic" w:hAnsi="Century Gothic" w:cs="Arial"/>
          <w:shd w:val="clear" w:color="auto" w:fill="FFFFFF"/>
        </w:rPr>
      </w:pPr>
      <w:r w:rsidRPr="00EA4BD7">
        <w:rPr>
          <w:rFonts w:ascii="Century Gothic" w:hAnsi="Century Gothic" w:cs="Arial"/>
          <w:shd w:val="clear" w:color="auto" w:fill="FFFFFF"/>
        </w:rPr>
        <w:t xml:space="preserve">Caso o mercado se comporte, o dólar não se desvalorize em demasiado, as notícias de controle fiscal dos planos de gastos com a PEC da Guerra não piorem, certamente teremos uma nova queda de 75 </w:t>
      </w:r>
      <w:proofErr w:type="spellStart"/>
      <w:r w:rsidRPr="00EA4BD7">
        <w:rPr>
          <w:rFonts w:ascii="Century Gothic" w:hAnsi="Century Gothic" w:cs="Arial"/>
          <w:shd w:val="clear" w:color="auto" w:fill="FFFFFF"/>
        </w:rPr>
        <w:t>bps</w:t>
      </w:r>
      <w:proofErr w:type="spellEnd"/>
      <w:r w:rsidRPr="00EA4BD7">
        <w:rPr>
          <w:rFonts w:ascii="Century Gothic" w:hAnsi="Century Gothic" w:cs="Arial"/>
          <w:shd w:val="clear" w:color="auto" w:fill="FFFFFF"/>
        </w:rPr>
        <w:t xml:space="preserve"> na Selic.</w:t>
      </w:r>
    </w:p>
    <w:p w:rsidR="00EA4BD7" w:rsidRDefault="00EA4BD7" w:rsidP="00F91624">
      <w:pPr>
        <w:tabs>
          <w:tab w:val="left" w:pos="8364"/>
        </w:tabs>
        <w:autoSpaceDE w:val="0"/>
        <w:autoSpaceDN w:val="0"/>
        <w:adjustRightInd w:val="0"/>
        <w:spacing w:line="240" w:lineRule="auto"/>
        <w:rPr>
          <w:rFonts w:ascii="Century Gothic" w:hAnsi="Century Gothic" w:cs="Arial"/>
          <w:color w:val="FF0000"/>
          <w:shd w:val="clear" w:color="auto" w:fill="FFFFFF"/>
        </w:rPr>
      </w:pPr>
    </w:p>
    <w:p w:rsidR="00A0356F" w:rsidRDefault="00A0356F" w:rsidP="0099470B">
      <w:pPr>
        <w:pStyle w:val="xparagraph"/>
        <w:spacing w:before="0" w:beforeAutospacing="0" w:after="0" w:afterAutospacing="0"/>
        <w:ind w:firstLine="705"/>
        <w:jc w:val="both"/>
        <w:textAlignment w:val="baseline"/>
        <w:rPr>
          <w:rStyle w:val="xnormaltextrun"/>
          <w:rFonts w:ascii="Arial" w:hAnsi="Arial" w:cs="Arial"/>
          <w:b/>
          <w:color w:val="000000"/>
          <w:sz w:val="21"/>
          <w:szCs w:val="21"/>
        </w:rPr>
      </w:pPr>
    </w:p>
    <w:p w:rsidR="00A0356F" w:rsidRDefault="00A0356F" w:rsidP="0099470B">
      <w:pPr>
        <w:pStyle w:val="xparagraph"/>
        <w:spacing w:before="0" w:beforeAutospacing="0" w:after="0" w:afterAutospacing="0"/>
        <w:ind w:firstLine="705"/>
        <w:jc w:val="both"/>
        <w:textAlignment w:val="baseline"/>
        <w:rPr>
          <w:rStyle w:val="xnormaltextrun"/>
          <w:rFonts w:ascii="Arial" w:hAnsi="Arial" w:cs="Arial"/>
          <w:b/>
          <w:color w:val="000000"/>
          <w:sz w:val="21"/>
          <w:szCs w:val="21"/>
        </w:rPr>
      </w:pPr>
    </w:p>
    <w:p w:rsidR="00014092" w:rsidRPr="00AB60E1" w:rsidRDefault="0099470B" w:rsidP="0099470B">
      <w:pPr>
        <w:pStyle w:val="xparagraph"/>
        <w:spacing w:before="0" w:beforeAutospacing="0" w:after="0" w:afterAutospacing="0"/>
        <w:ind w:firstLine="705"/>
        <w:jc w:val="both"/>
        <w:textAlignment w:val="baseline"/>
        <w:rPr>
          <w:rStyle w:val="xnormaltextrun"/>
          <w:rFonts w:ascii="Arial" w:hAnsi="Arial" w:cs="Arial"/>
          <w:b/>
          <w:color w:val="000000"/>
          <w:sz w:val="21"/>
          <w:szCs w:val="21"/>
        </w:rPr>
      </w:pPr>
      <w:r w:rsidRPr="00AB60E1">
        <w:rPr>
          <w:rStyle w:val="xnormaltextrun"/>
          <w:rFonts w:ascii="Arial" w:hAnsi="Arial" w:cs="Arial"/>
          <w:b/>
          <w:color w:val="000000"/>
          <w:sz w:val="21"/>
          <w:szCs w:val="21"/>
        </w:rPr>
        <w:t xml:space="preserve">Abaixo a análise </w:t>
      </w:r>
      <w:r w:rsidR="00014092" w:rsidRPr="00AB60E1">
        <w:rPr>
          <w:rStyle w:val="xnormaltextrun"/>
          <w:rFonts w:ascii="Arial" w:hAnsi="Arial" w:cs="Arial"/>
          <w:b/>
          <w:color w:val="000000"/>
          <w:sz w:val="21"/>
          <w:szCs w:val="21"/>
        </w:rPr>
        <w:t xml:space="preserve">da </w:t>
      </w:r>
      <w:r w:rsidRPr="00AB60E1">
        <w:rPr>
          <w:rStyle w:val="xnormaltextrun"/>
          <w:rFonts w:ascii="Arial" w:hAnsi="Arial" w:cs="Arial"/>
          <w:b/>
          <w:color w:val="000000"/>
          <w:sz w:val="21"/>
          <w:szCs w:val="21"/>
        </w:rPr>
        <w:t xml:space="preserve">carteira do </w:t>
      </w:r>
      <w:proofErr w:type="spellStart"/>
      <w:r w:rsidRPr="00AB60E1">
        <w:rPr>
          <w:rStyle w:val="xnormaltextrun"/>
          <w:rFonts w:ascii="Arial" w:hAnsi="Arial" w:cs="Arial"/>
          <w:b/>
          <w:color w:val="000000"/>
          <w:sz w:val="21"/>
          <w:szCs w:val="21"/>
        </w:rPr>
        <w:t>Votuprev</w:t>
      </w:r>
      <w:proofErr w:type="spellEnd"/>
      <w:r w:rsidR="00014092" w:rsidRPr="00AB60E1">
        <w:rPr>
          <w:rStyle w:val="xnormaltextrun"/>
          <w:rFonts w:ascii="Arial" w:hAnsi="Arial" w:cs="Arial"/>
          <w:b/>
          <w:color w:val="000000"/>
          <w:sz w:val="21"/>
          <w:szCs w:val="21"/>
        </w:rPr>
        <w:t>, feita por especialistas da Caixa Federal.</w:t>
      </w:r>
    </w:p>
    <w:p w:rsidR="0099470B" w:rsidRPr="00014092" w:rsidRDefault="00014092" w:rsidP="0099470B">
      <w:pPr>
        <w:pStyle w:val="xparagraph"/>
        <w:spacing w:before="0" w:beforeAutospacing="0" w:after="0" w:afterAutospacing="0"/>
        <w:ind w:firstLine="705"/>
        <w:jc w:val="both"/>
        <w:textAlignment w:val="baseline"/>
        <w:rPr>
          <w:rFonts w:ascii="Arial" w:hAnsi="Arial" w:cs="Arial"/>
          <w:i/>
          <w:color w:val="333333"/>
          <w:sz w:val="21"/>
          <w:szCs w:val="21"/>
        </w:rPr>
      </w:pPr>
      <w:r>
        <w:rPr>
          <w:rStyle w:val="xnormaltextrun"/>
          <w:rFonts w:ascii="Arial" w:hAnsi="Arial" w:cs="Arial"/>
          <w:color w:val="000000"/>
          <w:sz w:val="21"/>
          <w:szCs w:val="21"/>
        </w:rPr>
        <w:t xml:space="preserve">  </w:t>
      </w:r>
      <w:r w:rsidR="0099470B"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Os impactos da crise que estamos vivendo têm se mostrado extremamente relevantes no curto e médio prazo quando pensamos nos investimentos. Os preços dos ativos no mundo têm sofrido forte depreciação, com os investidores buscando cada vez mais proteção e fuga de risco.</w:t>
      </w:r>
    </w:p>
    <w:p w:rsidR="0099470B" w:rsidRPr="00014092" w:rsidRDefault="0099470B" w:rsidP="0099470B">
      <w:pPr>
        <w:pStyle w:val="xparagraph"/>
        <w:spacing w:before="0" w:beforeAutospacing="0" w:after="0" w:afterAutospacing="0"/>
        <w:ind w:firstLine="705"/>
        <w:jc w:val="both"/>
        <w:textAlignment w:val="baseline"/>
        <w:rPr>
          <w:rFonts w:ascii="Arial" w:hAnsi="Arial" w:cs="Arial"/>
          <w:i/>
          <w:color w:val="333333"/>
          <w:sz w:val="21"/>
          <w:szCs w:val="21"/>
        </w:rPr>
      </w:pPr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Dois grandes temas foram responsáveis por esses movimentos: </w:t>
      </w:r>
      <w:r w:rsidRPr="00014092">
        <w:rPr>
          <w:rStyle w:val="xnormaltextrun"/>
          <w:rFonts w:ascii="Arial" w:hAnsi="Arial" w:cs="Arial"/>
          <w:b/>
          <w:bCs/>
          <w:i/>
          <w:color w:val="000000"/>
          <w:sz w:val="21"/>
          <w:szCs w:val="21"/>
        </w:rPr>
        <w:t>a disseminação da COVID-19 e a guerra do preço do petróleo. </w:t>
      </w:r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No primeiro caso, a principal consequência é uma recessão global. Sobre o segundo tema, além da queda da demanda provocada pelo próprio COVID-19, houve também uma guerra de preços do lado da oferta, entre Rússia e Arábia Saudita, provocando uma queda acentuada no preço da commodity. Como consequência, tivemos uma forte volatilidade nos fundos de investimentos, tanto na Renda Variável como na Renda Fixa.</w:t>
      </w:r>
      <w:r w:rsidRPr="00014092">
        <w:rPr>
          <w:rFonts w:ascii="Segoe UI" w:hAnsi="Segoe UI" w:cs="Segoe UI"/>
          <w:i/>
          <w:color w:val="333333"/>
          <w:sz w:val="18"/>
          <w:szCs w:val="18"/>
        </w:rPr>
        <w:t> </w:t>
      </w:r>
    </w:p>
    <w:p w:rsidR="0099470B" w:rsidRPr="00014092" w:rsidRDefault="0099470B" w:rsidP="0099470B">
      <w:pPr>
        <w:pStyle w:val="xparagraph"/>
        <w:spacing w:before="0" w:beforeAutospacing="0" w:after="0" w:afterAutospacing="0"/>
        <w:ind w:firstLine="705"/>
        <w:jc w:val="both"/>
        <w:textAlignment w:val="baseline"/>
        <w:rPr>
          <w:rFonts w:ascii="Arial" w:hAnsi="Arial" w:cs="Arial"/>
          <w:i/>
          <w:color w:val="333333"/>
          <w:sz w:val="21"/>
          <w:szCs w:val="21"/>
        </w:rPr>
      </w:pPr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As projeções iniciais da extensão que a disseminação da COVID-19 causará nas economias mundiais são bastante desanimadoras, apesar de ainda um pouco prematuras. </w:t>
      </w:r>
      <w:r w:rsidRPr="00014092">
        <w:rPr>
          <w:rStyle w:val="xnormaltextrun"/>
          <w:rFonts w:ascii="Arial" w:hAnsi="Arial" w:cs="Arial"/>
          <w:bCs/>
          <w:i/>
          <w:color w:val="000000"/>
          <w:sz w:val="21"/>
          <w:szCs w:val="21"/>
        </w:rPr>
        <w:t>De fato, estamos num cenário de elevada incerteza, e a tomada de decisão de investimento neste momento deve ser muito cautelosa.</w:t>
      </w:r>
    </w:p>
    <w:p w:rsidR="0099470B" w:rsidRPr="00014092" w:rsidRDefault="0099470B" w:rsidP="0099470B">
      <w:pPr>
        <w:pStyle w:val="xparagraph"/>
        <w:spacing w:before="0" w:beforeAutospacing="0" w:after="0" w:afterAutospacing="0"/>
        <w:ind w:firstLine="705"/>
        <w:jc w:val="both"/>
        <w:textAlignment w:val="baseline"/>
        <w:rPr>
          <w:rFonts w:ascii="Arial" w:hAnsi="Arial" w:cs="Arial"/>
          <w:i/>
          <w:color w:val="333333"/>
          <w:sz w:val="21"/>
          <w:szCs w:val="21"/>
        </w:rPr>
      </w:pPr>
      <w:r w:rsidRPr="00014092">
        <w:rPr>
          <w:rFonts w:ascii="Segoe UI" w:hAnsi="Segoe UI" w:cs="Segoe UI"/>
          <w:i/>
          <w:color w:val="333333"/>
          <w:sz w:val="18"/>
          <w:szCs w:val="18"/>
        </w:rPr>
        <w:t> </w:t>
      </w:r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É como dar um passo à frente em meio a um </w:t>
      </w:r>
      <w:r w:rsidRPr="00014092">
        <w:rPr>
          <w:rStyle w:val="xnormaltextrun"/>
          <w:rFonts w:ascii="Arial" w:hAnsi="Arial" w:cs="Arial"/>
          <w:b/>
          <w:bCs/>
          <w:i/>
          <w:color w:val="000000"/>
          <w:sz w:val="21"/>
          <w:szCs w:val="21"/>
        </w:rPr>
        <w:t>enorme nevoeiro</w:t>
      </w:r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, onde sequer enxergamos exatamente onde pisamos.</w:t>
      </w:r>
      <w:r w:rsidRPr="00014092">
        <w:rPr>
          <w:rFonts w:ascii="Segoe UI" w:hAnsi="Segoe UI" w:cs="Segoe UI"/>
          <w:i/>
          <w:color w:val="333333"/>
          <w:sz w:val="18"/>
          <w:szCs w:val="18"/>
        </w:rPr>
        <w:t> </w:t>
      </w:r>
    </w:p>
    <w:p w:rsidR="0099470B" w:rsidRPr="00014092" w:rsidRDefault="0099470B" w:rsidP="0099470B">
      <w:pPr>
        <w:pStyle w:val="xparagraph"/>
        <w:spacing w:before="0" w:beforeAutospacing="0" w:after="0" w:afterAutospacing="0"/>
        <w:ind w:firstLine="705"/>
        <w:jc w:val="both"/>
        <w:textAlignment w:val="baseline"/>
        <w:rPr>
          <w:rFonts w:ascii="Arial" w:hAnsi="Arial" w:cs="Arial"/>
          <w:i/>
          <w:color w:val="333333"/>
          <w:sz w:val="21"/>
          <w:szCs w:val="21"/>
        </w:rPr>
      </w:pPr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Em geral, não aconselhamos nenhuma </w:t>
      </w:r>
      <w:r w:rsidRPr="00014092">
        <w:rPr>
          <w:rStyle w:val="xnormaltextrun"/>
          <w:rFonts w:ascii="Arial" w:hAnsi="Arial" w:cs="Arial"/>
          <w:b/>
          <w:bCs/>
          <w:i/>
          <w:color w:val="000000"/>
          <w:sz w:val="21"/>
          <w:szCs w:val="21"/>
        </w:rPr>
        <w:t>movimentação brusca</w:t>
      </w:r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 nas carteiras dos RPPS, afim de evitar qualquer </w:t>
      </w:r>
      <w:r w:rsidRPr="00014092">
        <w:rPr>
          <w:rStyle w:val="xnormaltextrun"/>
          <w:rFonts w:ascii="Arial" w:hAnsi="Arial" w:cs="Arial"/>
          <w:b/>
          <w:bCs/>
          <w:i/>
          <w:color w:val="000000"/>
          <w:sz w:val="21"/>
          <w:szCs w:val="21"/>
        </w:rPr>
        <w:t>realização de prejuízo precipitada</w:t>
      </w:r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, porém é mais seguro direcionar os </w:t>
      </w:r>
      <w:r w:rsidRPr="00014092">
        <w:rPr>
          <w:rStyle w:val="xnormaltextrun"/>
          <w:rFonts w:ascii="Arial" w:hAnsi="Arial" w:cs="Arial"/>
          <w:b/>
          <w:bCs/>
          <w:i/>
          <w:color w:val="000000"/>
          <w:sz w:val="21"/>
          <w:szCs w:val="21"/>
        </w:rPr>
        <w:t>recursos novos</w:t>
      </w:r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 para investimentos conservadores, tais como o </w:t>
      </w:r>
      <w:r w:rsidRPr="00014092">
        <w:rPr>
          <w:rStyle w:val="xnormaltextrun"/>
          <w:rFonts w:ascii="Arial" w:hAnsi="Arial" w:cs="Arial"/>
          <w:b/>
          <w:bCs/>
          <w:i/>
          <w:color w:val="000000"/>
          <w:sz w:val="21"/>
          <w:szCs w:val="21"/>
        </w:rPr>
        <w:t>IRF-M 1/CDI</w:t>
      </w:r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 e fundos de </w:t>
      </w:r>
      <w:r w:rsidRPr="00014092">
        <w:rPr>
          <w:rStyle w:val="xnormaltextrun"/>
          <w:rFonts w:ascii="Arial" w:hAnsi="Arial" w:cs="Arial"/>
          <w:b/>
          <w:bCs/>
          <w:i/>
          <w:color w:val="000000"/>
          <w:sz w:val="21"/>
          <w:szCs w:val="21"/>
        </w:rPr>
        <w:t>Renda Fixa Ativa</w:t>
      </w:r>
      <w:r w:rsidRPr="00014092">
        <w:rPr>
          <w:rStyle w:val="xnormaltextrun"/>
          <w:rFonts w:ascii="Arial" w:hAnsi="Arial" w:cs="Arial"/>
          <w:b/>
          <w:bCs/>
          <w:i/>
          <w:color w:val="333333"/>
          <w:sz w:val="21"/>
          <w:szCs w:val="21"/>
        </w:rPr>
        <w:t>.</w:t>
      </w:r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 </w:t>
      </w:r>
    </w:p>
    <w:p w:rsidR="0099470B" w:rsidRPr="00014092" w:rsidRDefault="0099470B" w:rsidP="0099470B">
      <w:pPr>
        <w:pStyle w:val="xparagraph"/>
        <w:spacing w:before="0" w:beforeAutospacing="0" w:after="0" w:afterAutospacing="0"/>
        <w:ind w:firstLine="705"/>
        <w:jc w:val="both"/>
        <w:textAlignment w:val="baseline"/>
        <w:rPr>
          <w:rFonts w:ascii="Arial" w:hAnsi="Arial" w:cs="Arial"/>
          <w:i/>
          <w:color w:val="333333"/>
          <w:sz w:val="21"/>
          <w:szCs w:val="21"/>
        </w:rPr>
      </w:pPr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Em relação a carteira atual do Instituto (anexo), percebemos uma concentração grande nos índices vinculados à inflação (IDKA2, IMA-B, IMA-B5) e como os fundos de renda fixa ativo conseguem capturar movimentos na curva de inflação (caso o gestor julgue promissor), pode-se considerar a </w:t>
      </w:r>
      <w:r w:rsidRPr="00014092">
        <w:rPr>
          <w:rStyle w:val="xnormaltextrun"/>
          <w:rFonts w:ascii="Arial" w:hAnsi="Arial" w:cs="Arial"/>
          <w:b/>
          <w:bCs/>
          <w:i/>
          <w:color w:val="000000"/>
          <w:sz w:val="21"/>
          <w:szCs w:val="21"/>
        </w:rPr>
        <w:t>redução gradual</w:t>
      </w:r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 </w:t>
      </w:r>
      <w:r w:rsid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dos investimentos em Fundos da Caixa, migrando</w:t>
      </w:r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 </w:t>
      </w:r>
      <w:r w:rsidRPr="00014092">
        <w:rPr>
          <w:rStyle w:val="xnormaltextrun"/>
          <w:rFonts w:ascii="Arial" w:hAnsi="Arial" w:cs="Arial"/>
          <w:i/>
          <w:color w:val="333333"/>
          <w:sz w:val="21"/>
          <w:szCs w:val="21"/>
        </w:rPr>
        <w:t>para o</w:t>
      </w:r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 </w:t>
      </w:r>
      <w:r w:rsidRPr="00014092">
        <w:rPr>
          <w:rStyle w:val="xnormaltextrun"/>
          <w:rFonts w:ascii="Arial" w:hAnsi="Arial" w:cs="Arial"/>
          <w:b/>
          <w:i/>
          <w:color w:val="000000"/>
          <w:sz w:val="21"/>
          <w:szCs w:val="21"/>
        </w:rPr>
        <w:t>Caixa Renda Fixa Ativa</w:t>
      </w:r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 xml:space="preserve"> (anexo). </w:t>
      </w:r>
    </w:p>
    <w:p w:rsidR="0099470B" w:rsidRPr="00014092" w:rsidRDefault="0099470B" w:rsidP="0099470B">
      <w:pPr>
        <w:pStyle w:val="xparagraph"/>
        <w:spacing w:before="0" w:beforeAutospacing="0" w:after="0" w:afterAutospacing="0"/>
        <w:ind w:firstLine="705"/>
        <w:jc w:val="both"/>
        <w:textAlignment w:val="baseline"/>
        <w:rPr>
          <w:rFonts w:ascii="Arial" w:hAnsi="Arial" w:cs="Arial"/>
          <w:i/>
          <w:color w:val="333333"/>
          <w:sz w:val="21"/>
          <w:szCs w:val="21"/>
        </w:rPr>
      </w:pPr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 xml:space="preserve">Por fim, aconselhamos sempre manter uma parcela (mesmo que pequena) em fundo </w:t>
      </w:r>
      <w:proofErr w:type="spellStart"/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BDRs</w:t>
      </w:r>
      <w:proofErr w:type="spellEnd"/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 xml:space="preserve"> para compor o Hedge (proteção) da carteira.</w:t>
      </w:r>
      <w:r w:rsidRPr="00014092">
        <w:rPr>
          <w:rFonts w:ascii="Segoe UI" w:hAnsi="Segoe UI" w:cs="Segoe UI"/>
          <w:i/>
          <w:color w:val="333333"/>
          <w:sz w:val="18"/>
          <w:szCs w:val="18"/>
        </w:rPr>
        <w:t> </w:t>
      </w:r>
    </w:p>
    <w:p w:rsidR="0099470B" w:rsidRDefault="0099470B" w:rsidP="0099470B">
      <w:pPr>
        <w:pStyle w:val="xparagraph"/>
        <w:spacing w:before="0" w:beforeAutospacing="0" w:after="0" w:afterAutospacing="0"/>
        <w:ind w:firstLine="705"/>
        <w:jc w:val="both"/>
        <w:textAlignment w:val="baseline"/>
        <w:rPr>
          <w:rStyle w:val="xnormaltextrun"/>
          <w:rFonts w:ascii="Arial" w:hAnsi="Arial" w:cs="Arial"/>
          <w:i/>
          <w:color w:val="000000"/>
          <w:sz w:val="21"/>
          <w:szCs w:val="21"/>
        </w:rPr>
      </w:pPr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Seguimos monitorando de perto os desdobramentos destes acontecimentos e as consequências nos investimentos, levando sempre informação ágil e assertiva para você, Regime Próprio de Previdência Social.</w:t>
      </w:r>
    </w:p>
    <w:p w:rsidR="00CE689B" w:rsidRPr="00014092" w:rsidRDefault="00CE689B" w:rsidP="00CE689B">
      <w:pPr>
        <w:pStyle w:val="xparagraph"/>
        <w:spacing w:before="0" w:beforeAutospacing="0" w:after="0" w:afterAutospacing="0"/>
        <w:ind w:firstLine="705"/>
        <w:jc w:val="both"/>
        <w:textAlignment w:val="baseline"/>
        <w:rPr>
          <w:rFonts w:ascii="Arial" w:hAnsi="Arial" w:cs="Arial"/>
          <w:i/>
          <w:color w:val="333333"/>
          <w:sz w:val="21"/>
          <w:szCs w:val="21"/>
        </w:rPr>
      </w:pPr>
      <w:r>
        <w:rPr>
          <w:rStyle w:val="xnormaltextrun"/>
          <w:rFonts w:ascii="Arial" w:hAnsi="Arial" w:cs="Arial"/>
          <w:i/>
          <w:color w:val="000000"/>
          <w:sz w:val="21"/>
          <w:szCs w:val="21"/>
        </w:rPr>
        <w:t xml:space="preserve">Em uma </w:t>
      </w:r>
      <w:proofErr w:type="spellStart"/>
      <w:r>
        <w:rPr>
          <w:rStyle w:val="xnormaltextrun"/>
          <w:rFonts w:ascii="Arial" w:hAnsi="Arial" w:cs="Arial"/>
          <w:i/>
          <w:color w:val="000000"/>
          <w:sz w:val="21"/>
          <w:szCs w:val="21"/>
        </w:rPr>
        <w:t>live</w:t>
      </w:r>
      <w:proofErr w:type="spellEnd"/>
      <w:r>
        <w:rPr>
          <w:rStyle w:val="xnormaltextrun"/>
          <w:rFonts w:ascii="Arial" w:hAnsi="Arial" w:cs="Arial"/>
          <w:i/>
          <w:color w:val="000000"/>
          <w:sz w:val="21"/>
          <w:szCs w:val="21"/>
        </w:rPr>
        <w:t xml:space="preserve"> com os especialistas em investimentos do </w:t>
      </w:r>
      <w:r w:rsidRPr="00AB60E1">
        <w:rPr>
          <w:rStyle w:val="xnormaltextrun"/>
          <w:rFonts w:ascii="Arial" w:hAnsi="Arial" w:cs="Arial"/>
          <w:b/>
          <w:i/>
          <w:color w:val="000000"/>
          <w:sz w:val="21"/>
          <w:szCs w:val="21"/>
        </w:rPr>
        <w:t>BBDTVM,</w:t>
      </w:r>
      <w:r>
        <w:rPr>
          <w:rStyle w:val="xnormaltextrun"/>
          <w:rFonts w:ascii="Arial" w:hAnsi="Arial" w:cs="Arial"/>
          <w:i/>
          <w:color w:val="000000"/>
          <w:sz w:val="21"/>
          <w:szCs w:val="21"/>
        </w:rPr>
        <w:t xml:space="preserve"> a sugestão também foi a mesma, a redução </w:t>
      </w:r>
      <w:r w:rsidRPr="00014092">
        <w:rPr>
          <w:rStyle w:val="xnormaltextrun"/>
          <w:rFonts w:ascii="Arial" w:hAnsi="Arial" w:cs="Arial"/>
          <w:i/>
          <w:color w:val="000000"/>
          <w:sz w:val="21"/>
          <w:szCs w:val="21"/>
        </w:rPr>
        <w:t>índices vinculados à inflação (IDKA2, IMA-B, IMA-B5)</w:t>
      </w:r>
    </w:p>
    <w:p w:rsidR="00A0356F" w:rsidRPr="00F412F9" w:rsidRDefault="00A0356F" w:rsidP="00516448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/>
        </w:rPr>
      </w:pPr>
      <w:r w:rsidRPr="00F412F9">
        <w:rPr>
          <w:rFonts w:ascii="Century Gothic" w:hAnsi="Century Gothic"/>
        </w:rPr>
        <w:t>Diante das análises, o comitê decidiu fazer o Resgate Total do Fundo IMAB5 - BB e o resgate de $6.500.000,00 IDKA2- BB, ambos fundos do Banco do Brasil</w:t>
      </w:r>
      <w:r w:rsidR="005F2990" w:rsidRPr="00F412F9">
        <w:rPr>
          <w:rFonts w:ascii="Century Gothic" w:hAnsi="Century Gothic"/>
        </w:rPr>
        <w:t xml:space="preserve"> </w:t>
      </w:r>
      <w:r w:rsidRPr="00F412F9">
        <w:rPr>
          <w:rFonts w:ascii="Century Gothic" w:hAnsi="Century Gothic"/>
        </w:rPr>
        <w:t xml:space="preserve">(c/c33384-0) e aplicar os valores resgatados no </w:t>
      </w:r>
      <w:r w:rsidRPr="00F412F9">
        <w:rPr>
          <w:rFonts w:ascii="Century Gothic" w:hAnsi="Century Gothic"/>
          <w:b/>
        </w:rPr>
        <w:t>Fundo CAIXA FIC BRASIL RENDA FIXA ATIVA</w:t>
      </w:r>
      <w:r w:rsidR="005F2990" w:rsidRPr="00F412F9">
        <w:rPr>
          <w:rFonts w:ascii="Century Gothic" w:hAnsi="Century Gothic"/>
        </w:rPr>
        <w:t>, CNPJ:35.536.532</w:t>
      </w:r>
      <w:r w:rsidR="006022AB">
        <w:rPr>
          <w:rFonts w:ascii="Century Gothic" w:hAnsi="Century Gothic"/>
        </w:rPr>
        <w:t>/0001-2</w:t>
      </w:r>
      <w:bookmarkStart w:id="1" w:name="_GoBack"/>
      <w:bookmarkEnd w:id="1"/>
      <w:r w:rsidR="005F2990" w:rsidRPr="00F412F9">
        <w:rPr>
          <w:rFonts w:ascii="Century Gothic" w:hAnsi="Century Gothic"/>
        </w:rPr>
        <w:t xml:space="preserve">2, Artigo 7º, Inciso IV a. </w:t>
      </w:r>
      <w:r w:rsidRPr="00F412F9">
        <w:rPr>
          <w:rFonts w:ascii="Century Gothic" w:hAnsi="Century Gothic"/>
        </w:rPr>
        <w:t>A estratégia do fundo conta com a gestão ativa dos recursos, buscando as melhores oportunidades nas curvas de títulos públicos federais (prefixados e índice de preços), em ativos privados emitidos por instituição financeira de baixo risco de crédito e em posições defensivas como o CDI</w:t>
      </w:r>
      <w:r w:rsidR="005F2990" w:rsidRPr="00F412F9">
        <w:rPr>
          <w:rFonts w:ascii="Century Gothic" w:hAnsi="Century Gothic"/>
        </w:rPr>
        <w:t xml:space="preserve">. </w:t>
      </w:r>
    </w:p>
    <w:p w:rsidR="00EA4BD7" w:rsidRPr="00F412F9" w:rsidRDefault="00A0356F" w:rsidP="00516448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shd w:val="clear" w:color="auto" w:fill="FFFFFF"/>
        </w:rPr>
      </w:pPr>
      <w:r w:rsidRPr="00F412F9">
        <w:rPr>
          <w:rFonts w:ascii="Century Gothic" w:hAnsi="Century Gothic"/>
        </w:rPr>
        <w:t xml:space="preserve"> </w:t>
      </w:r>
      <w:r w:rsidRPr="00F412F9">
        <w:rPr>
          <w:rFonts w:ascii="Century Gothic" w:hAnsi="Century Gothic" w:cs="Arial"/>
        </w:rPr>
        <w:t xml:space="preserve"> Nada mais havendo a tratar, a reunião foi encerrada às </w:t>
      </w:r>
      <w:r w:rsidR="005F2990" w:rsidRPr="00F412F9">
        <w:rPr>
          <w:rFonts w:ascii="Century Gothic" w:hAnsi="Century Gothic" w:cs="Arial"/>
        </w:rPr>
        <w:t>16:45</w:t>
      </w:r>
      <w:r w:rsidRPr="00F412F9">
        <w:rPr>
          <w:rFonts w:ascii="Century Gothic" w:hAnsi="Century Gothic" w:cs="Arial"/>
        </w:rPr>
        <w:t xml:space="preserve">, onde a ata foi lida, aprovada e </w:t>
      </w:r>
      <w:r w:rsidR="00F412F9">
        <w:rPr>
          <w:rFonts w:ascii="Century Gothic" w:hAnsi="Century Gothic" w:cs="Arial"/>
        </w:rPr>
        <w:t xml:space="preserve">será </w:t>
      </w:r>
      <w:r w:rsidRPr="00F412F9">
        <w:rPr>
          <w:rFonts w:ascii="Century Gothic" w:hAnsi="Century Gothic" w:cs="Arial"/>
        </w:rPr>
        <w:t>assinada em momento oportuno pelos integrantes do comitê presentes virtualmente à reunião.</w:t>
      </w:r>
    </w:p>
    <w:p w:rsidR="00EA4BD7" w:rsidRDefault="00EA4BD7" w:rsidP="00516448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FF0000"/>
          <w:shd w:val="clear" w:color="auto" w:fill="FFFFFF"/>
        </w:rPr>
      </w:pPr>
    </w:p>
    <w:p w:rsidR="00516448" w:rsidRPr="004C1A06" w:rsidRDefault="00516448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FF0000"/>
        </w:rPr>
      </w:pPr>
    </w:p>
    <w:p w:rsidR="00516448" w:rsidRPr="004C1A06" w:rsidRDefault="00516448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FF0000"/>
        </w:rPr>
      </w:pPr>
    </w:p>
    <w:bookmarkEnd w:id="0"/>
    <w:p w:rsidR="00106EB7" w:rsidRPr="0050175C" w:rsidRDefault="00005398" w:rsidP="00315831">
      <w:pPr>
        <w:ind w:left="-284" w:right="-427"/>
        <w:rPr>
          <w:rFonts w:ascii="Century Gothic" w:hAnsi="Century Gothic" w:cs="Arial"/>
        </w:rPr>
      </w:pPr>
      <w:r>
        <w:rPr>
          <w:rFonts w:ascii="Century Gothic" w:hAnsi="Century Gothic" w:cs="Arial"/>
          <w:i/>
          <w:sz w:val="24"/>
          <w:szCs w:val="24"/>
        </w:rPr>
        <w:t xml:space="preserve">   </w:t>
      </w:r>
      <w:r w:rsidR="00B83FC5">
        <w:rPr>
          <w:rFonts w:ascii="Century Gothic" w:hAnsi="Century Gothic" w:cs="Arial"/>
          <w:i/>
          <w:sz w:val="24"/>
          <w:szCs w:val="24"/>
        </w:rPr>
        <w:t xml:space="preserve"> </w:t>
      </w:r>
      <w:r>
        <w:rPr>
          <w:rFonts w:ascii="Century Gothic" w:hAnsi="Century Gothic" w:cs="Arial"/>
          <w:i/>
          <w:sz w:val="24"/>
          <w:szCs w:val="24"/>
        </w:rPr>
        <w:t>Adauto C. Mariola</w:t>
      </w:r>
      <w:r w:rsidR="00F412F9">
        <w:rPr>
          <w:rFonts w:ascii="Century Gothic" w:hAnsi="Century Gothic" w:cs="Arial"/>
          <w:i/>
          <w:sz w:val="24"/>
          <w:szCs w:val="24"/>
        </w:rPr>
        <w:t xml:space="preserve">   </w:t>
      </w:r>
      <w:r>
        <w:rPr>
          <w:rFonts w:ascii="Century Gothic" w:hAnsi="Century Gothic" w:cs="Arial"/>
          <w:i/>
          <w:sz w:val="24"/>
          <w:szCs w:val="24"/>
        </w:rPr>
        <w:t xml:space="preserve"> </w:t>
      </w:r>
      <w:r w:rsidR="00F412F9">
        <w:rPr>
          <w:rFonts w:ascii="Century Gothic" w:hAnsi="Century Gothic" w:cs="Arial"/>
          <w:i/>
          <w:sz w:val="24"/>
          <w:szCs w:val="24"/>
        </w:rPr>
        <w:t>Jo</w:t>
      </w:r>
      <w:r w:rsidR="001B5A68" w:rsidRPr="009F3FAD">
        <w:rPr>
          <w:rFonts w:ascii="Century Gothic" w:hAnsi="Century Gothic" w:cs="Arial"/>
          <w:i/>
          <w:sz w:val="24"/>
          <w:szCs w:val="24"/>
        </w:rPr>
        <w:t>ão B. André</w:t>
      </w:r>
      <w:r w:rsidR="001B5A68">
        <w:rPr>
          <w:rFonts w:ascii="Century Gothic" w:hAnsi="Century Gothic" w:cs="Arial"/>
          <w:i/>
          <w:sz w:val="24"/>
          <w:szCs w:val="24"/>
        </w:rPr>
        <w:t xml:space="preserve"> </w:t>
      </w:r>
      <w:r w:rsidR="00F412F9">
        <w:rPr>
          <w:rFonts w:ascii="Century Gothic" w:hAnsi="Century Gothic" w:cs="Arial"/>
          <w:i/>
          <w:sz w:val="24"/>
          <w:szCs w:val="24"/>
        </w:rPr>
        <w:t xml:space="preserve">  </w:t>
      </w:r>
      <w:r w:rsidR="001B5A68">
        <w:rPr>
          <w:rFonts w:ascii="Century Gothic" w:hAnsi="Century Gothic" w:cs="Arial"/>
          <w:i/>
          <w:sz w:val="24"/>
          <w:szCs w:val="24"/>
        </w:rPr>
        <w:t xml:space="preserve"> </w:t>
      </w:r>
      <w:r w:rsidR="00FA500B">
        <w:rPr>
          <w:rFonts w:ascii="Century Gothic" w:hAnsi="Century Gothic" w:cs="Arial"/>
          <w:i/>
          <w:sz w:val="24"/>
          <w:szCs w:val="24"/>
        </w:rPr>
        <w:t xml:space="preserve"> </w:t>
      </w:r>
      <w:r w:rsidR="00F412F9">
        <w:rPr>
          <w:rFonts w:ascii="Century Gothic" w:hAnsi="Century Gothic" w:cs="Arial"/>
          <w:i/>
          <w:sz w:val="24"/>
          <w:szCs w:val="24"/>
        </w:rPr>
        <w:t xml:space="preserve">Agnaldo S. </w:t>
      </w:r>
      <w:proofErr w:type="spellStart"/>
      <w:r w:rsidR="00F412F9">
        <w:rPr>
          <w:rFonts w:ascii="Century Gothic" w:hAnsi="Century Gothic" w:cs="Arial"/>
          <w:i/>
          <w:sz w:val="24"/>
          <w:szCs w:val="24"/>
        </w:rPr>
        <w:t>Masson</w:t>
      </w:r>
      <w:proofErr w:type="spellEnd"/>
      <w:r w:rsidR="00F412F9">
        <w:rPr>
          <w:rFonts w:ascii="Century Gothic" w:hAnsi="Century Gothic" w:cs="Arial"/>
          <w:i/>
          <w:sz w:val="24"/>
          <w:szCs w:val="24"/>
        </w:rPr>
        <w:t xml:space="preserve"> </w:t>
      </w:r>
      <w:r>
        <w:rPr>
          <w:rFonts w:ascii="Century Gothic" w:hAnsi="Century Gothic" w:cs="Arial"/>
          <w:i/>
          <w:sz w:val="24"/>
          <w:szCs w:val="24"/>
        </w:rPr>
        <w:t xml:space="preserve">  </w:t>
      </w:r>
      <w:r w:rsidR="00B83FC5">
        <w:rPr>
          <w:rFonts w:ascii="Century Gothic" w:hAnsi="Century Gothic" w:cs="Arial"/>
          <w:i/>
          <w:sz w:val="24"/>
          <w:szCs w:val="24"/>
        </w:rPr>
        <w:t xml:space="preserve">    </w:t>
      </w:r>
      <w:r w:rsidR="001B5A68" w:rsidRPr="004E6E8B">
        <w:rPr>
          <w:rFonts w:ascii="Century Gothic" w:hAnsi="Century Gothic" w:cs="Arial"/>
          <w:sz w:val="24"/>
          <w:szCs w:val="24"/>
        </w:rPr>
        <w:t>Alexandre V. Lima</w:t>
      </w:r>
    </w:p>
    <w:sectPr w:rsidR="00106EB7" w:rsidRPr="0050175C" w:rsidSect="00377034">
      <w:headerReference w:type="default" r:id="rId8"/>
      <w:footerReference w:type="default" r:id="rId9"/>
      <w:pgSz w:w="11906" w:h="16838"/>
      <w:pgMar w:top="1417" w:right="1416" w:bottom="1417" w:left="156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3F38" w:rsidRDefault="00E43F38" w:rsidP="009375C4">
      <w:pPr>
        <w:spacing w:line="240" w:lineRule="auto"/>
      </w:pPr>
      <w:r>
        <w:separator/>
      </w:r>
    </w:p>
  </w:endnote>
  <w:endnote w:type="continuationSeparator" w:id="0">
    <w:p w:rsidR="00E43F38" w:rsidRDefault="00E43F38" w:rsidP="009375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9D6" w:rsidRPr="00AE0606" w:rsidRDefault="000F79D6" w:rsidP="00AE0606">
    <w:pPr>
      <w:pStyle w:val="Rodap"/>
      <w:jc w:val="center"/>
      <w:rPr>
        <w:rFonts w:ascii="Verdana" w:hAnsi="Verdana"/>
        <w:b/>
        <w:sz w:val="24"/>
        <w:szCs w:val="24"/>
      </w:rPr>
    </w:pPr>
    <w:r w:rsidRPr="00AE0606">
      <w:rPr>
        <w:rFonts w:ascii="Verdana" w:hAnsi="Verdana"/>
        <w:b/>
        <w:sz w:val="24"/>
        <w:szCs w:val="24"/>
      </w:rPr>
      <w:t>Instituto de Previdência do Município de Votuporanga</w:t>
    </w:r>
  </w:p>
  <w:p w:rsidR="000F79D6" w:rsidRPr="00AE0606" w:rsidRDefault="000F79D6" w:rsidP="003A10B8">
    <w:pPr>
      <w:pStyle w:val="Rodap"/>
      <w:jc w:val="center"/>
      <w:rPr>
        <w:rFonts w:ascii="Verdana" w:hAnsi="Verdana" w:cstheme="minorHAnsi"/>
        <w:sz w:val="16"/>
        <w:szCs w:val="16"/>
      </w:rPr>
    </w:pPr>
    <w:r w:rsidRPr="00AE0606">
      <w:rPr>
        <w:rFonts w:ascii="Verdana" w:hAnsi="Verdana" w:cstheme="minorHAnsi"/>
        <w:sz w:val="16"/>
        <w:szCs w:val="16"/>
      </w:rPr>
      <w:t>Rua São Paulo, 3834 – Centro - Votuporanga/SP – CEP 15.500-010 - Fone: (17) 3421-6058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3F38" w:rsidRDefault="00E43F38" w:rsidP="009375C4">
      <w:pPr>
        <w:spacing w:line="240" w:lineRule="auto"/>
      </w:pPr>
      <w:r>
        <w:separator/>
      </w:r>
    </w:p>
  </w:footnote>
  <w:footnote w:type="continuationSeparator" w:id="0">
    <w:p w:rsidR="00E43F38" w:rsidRDefault="00E43F38" w:rsidP="009375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9D6" w:rsidRDefault="000F79D6" w:rsidP="004853BC">
    <w:pPr>
      <w:pStyle w:val="Cabealho"/>
      <w:tabs>
        <w:tab w:val="clear" w:pos="4252"/>
        <w:tab w:val="clear" w:pos="8504"/>
        <w:tab w:val="left" w:pos="1725"/>
      </w:tabs>
      <w:ind w:left="-284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4358640</wp:posOffset>
          </wp:positionH>
          <wp:positionV relativeFrom="paragraph">
            <wp:posOffset>-236220</wp:posOffset>
          </wp:positionV>
          <wp:extent cx="1895475" cy="647700"/>
          <wp:effectExtent l="0" t="0" r="9525" b="0"/>
          <wp:wrapSquare wrapText="bothSides"/>
          <wp:docPr id="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são_horizontal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371" t="15626" r="9071" b="18749"/>
                  <a:stretch/>
                </pic:blipFill>
                <pic:spPr bwMode="auto">
                  <a:xfrm>
                    <a:off x="0" y="0"/>
                    <a:ext cx="1895475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-1070610</wp:posOffset>
          </wp:positionH>
          <wp:positionV relativeFrom="paragraph">
            <wp:posOffset>-436245</wp:posOffset>
          </wp:positionV>
          <wp:extent cx="2333625" cy="771525"/>
          <wp:effectExtent l="19050" t="0" r="9525" b="0"/>
          <wp:wrapTopAndBottom/>
          <wp:docPr id="8" name="Imagem 8" descr="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m títul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33362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7002D"/>
    <w:multiLevelType w:val="hybridMultilevel"/>
    <w:tmpl w:val="B864554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 w15:restartNumberingAfterBreak="0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 w15:restartNumberingAfterBreak="0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102CD3"/>
    <w:multiLevelType w:val="multilevel"/>
    <w:tmpl w:val="EEF6EB10"/>
    <w:lvl w:ilvl="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>
      <w:start w:val="1"/>
      <w:numFmt w:val="decimal"/>
      <w:lvlText w:val="%2."/>
      <w:lvlJc w:val="left"/>
      <w:pPr>
        <w:ind w:left="360" w:hanging="360"/>
      </w:pPr>
      <w:rPr>
        <w:b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6" w15:restartNumberingAfterBreak="0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4A862FE9"/>
    <w:multiLevelType w:val="hybridMultilevel"/>
    <w:tmpl w:val="1F24F9EC"/>
    <w:lvl w:ilvl="0" w:tplc="0658CCB6">
      <w:start w:val="1"/>
      <w:numFmt w:val="decimal"/>
      <w:lvlText w:val="%1)"/>
      <w:lvlJc w:val="left"/>
      <w:pPr>
        <w:ind w:left="360" w:hanging="360"/>
      </w:pPr>
      <w:rPr>
        <w:rFonts w:eastAsia="Calibri" w:cs="Times New Roman" w:hint="default"/>
        <w:b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9" w15:restartNumberingAfterBreak="0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0" w15:restartNumberingAfterBreak="0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330D7A"/>
    <w:multiLevelType w:val="hybridMultilevel"/>
    <w:tmpl w:val="F176ED1E"/>
    <w:lvl w:ilvl="0" w:tplc="0416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9"/>
  </w:num>
  <w:num w:numId="5">
    <w:abstractNumId w:val="4"/>
  </w:num>
  <w:num w:numId="6">
    <w:abstractNumId w:val="6"/>
  </w:num>
  <w:num w:numId="7">
    <w:abstractNumId w:val="3"/>
  </w:num>
  <w:num w:numId="8">
    <w:abstractNumId w:val="10"/>
  </w:num>
  <w:num w:numId="9">
    <w:abstractNumId w:val="7"/>
  </w:num>
  <w:num w:numId="10">
    <w:abstractNumId w:val="0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0CFD"/>
    <w:rsid w:val="0000235D"/>
    <w:rsid w:val="000038EF"/>
    <w:rsid w:val="00004777"/>
    <w:rsid w:val="00005398"/>
    <w:rsid w:val="000133A8"/>
    <w:rsid w:val="00014092"/>
    <w:rsid w:val="00020D6F"/>
    <w:rsid w:val="000327B4"/>
    <w:rsid w:val="000343E1"/>
    <w:rsid w:val="000375E4"/>
    <w:rsid w:val="000375FA"/>
    <w:rsid w:val="00037973"/>
    <w:rsid w:val="00040CB6"/>
    <w:rsid w:val="00041875"/>
    <w:rsid w:val="00044A50"/>
    <w:rsid w:val="00046906"/>
    <w:rsid w:val="000474AE"/>
    <w:rsid w:val="000517D1"/>
    <w:rsid w:val="00053B7F"/>
    <w:rsid w:val="000549F9"/>
    <w:rsid w:val="00061EBB"/>
    <w:rsid w:val="00062E1F"/>
    <w:rsid w:val="00065C90"/>
    <w:rsid w:val="000711CD"/>
    <w:rsid w:val="0007386E"/>
    <w:rsid w:val="00074061"/>
    <w:rsid w:val="00074279"/>
    <w:rsid w:val="00091414"/>
    <w:rsid w:val="000973EA"/>
    <w:rsid w:val="000A040A"/>
    <w:rsid w:val="000A0510"/>
    <w:rsid w:val="000A5A82"/>
    <w:rsid w:val="000B566E"/>
    <w:rsid w:val="000B65A9"/>
    <w:rsid w:val="000C238A"/>
    <w:rsid w:val="000D0501"/>
    <w:rsid w:val="000D1375"/>
    <w:rsid w:val="000D2110"/>
    <w:rsid w:val="000D2DAD"/>
    <w:rsid w:val="000D5099"/>
    <w:rsid w:val="000D60B5"/>
    <w:rsid w:val="000D760D"/>
    <w:rsid w:val="000E4BE5"/>
    <w:rsid w:val="000E60B4"/>
    <w:rsid w:val="000E7E1D"/>
    <w:rsid w:val="000F6256"/>
    <w:rsid w:val="000F79D6"/>
    <w:rsid w:val="00106E55"/>
    <w:rsid w:val="00106EB7"/>
    <w:rsid w:val="0011110F"/>
    <w:rsid w:val="00117B9D"/>
    <w:rsid w:val="001347E8"/>
    <w:rsid w:val="00134A76"/>
    <w:rsid w:val="00137B82"/>
    <w:rsid w:val="00146014"/>
    <w:rsid w:val="0014636C"/>
    <w:rsid w:val="001516C0"/>
    <w:rsid w:val="00155962"/>
    <w:rsid w:val="0015712E"/>
    <w:rsid w:val="001630FC"/>
    <w:rsid w:val="00163A10"/>
    <w:rsid w:val="00164824"/>
    <w:rsid w:val="0016546B"/>
    <w:rsid w:val="0017139C"/>
    <w:rsid w:val="00171469"/>
    <w:rsid w:val="00171D76"/>
    <w:rsid w:val="00176F1B"/>
    <w:rsid w:val="00187143"/>
    <w:rsid w:val="001903B1"/>
    <w:rsid w:val="001A1AD3"/>
    <w:rsid w:val="001A4403"/>
    <w:rsid w:val="001A54D9"/>
    <w:rsid w:val="001B5A68"/>
    <w:rsid w:val="001C0E0D"/>
    <w:rsid w:val="001C3AA7"/>
    <w:rsid w:val="001C5587"/>
    <w:rsid w:val="001C5D92"/>
    <w:rsid w:val="001D1DF1"/>
    <w:rsid w:val="001D67ED"/>
    <w:rsid w:val="001E148F"/>
    <w:rsid w:val="001E1F2D"/>
    <w:rsid w:val="001E4C89"/>
    <w:rsid w:val="001E5CC8"/>
    <w:rsid w:val="001E5EFD"/>
    <w:rsid w:val="001E793E"/>
    <w:rsid w:val="001F40F5"/>
    <w:rsid w:val="00200C6C"/>
    <w:rsid w:val="002052BB"/>
    <w:rsid w:val="0020562E"/>
    <w:rsid w:val="002068C5"/>
    <w:rsid w:val="00206F03"/>
    <w:rsid w:val="00210B37"/>
    <w:rsid w:val="00211728"/>
    <w:rsid w:val="00211D64"/>
    <w:rsid w:val="00213910"/>
    <w:rsid w:val="00214B74"/>
    <w:rsid w:val="0022122D"/>
    <w:rsid w:val="0022533A"/>
    <w:rsid w:val="0023195F"/>
    <w:rsid w:val="00240051"/>
    <w:rsid w:val="0024267A"/>
    <w:rsid w:val="00247BE8"/>
    <w:rsid w:val="00247DC0"/>
    <w:rsid w:val="0025093D"/>
    <w:rsid w:val="00251D27"/>
    <w:rsid w:val="0025325E"/>
    <w:rsid w:val="00254AFD"/>
    <w:rsid w:val="00254B16"/>
    <w:rsid w:val="002624D4"/>
    <w:rsid w:val="00262A17"/>
    <w:rsid w:val="00270F4B"/>
    <w:rsid w:val="002724D8"/>
    <w:rsid w:val="00273CF9"/>
    <w:rsid w:val="002740E8"/>
    <w:rsid w:val="00274802"/>
    <w:rsid w:val="00275AF9"/>
    <w:rsid w:val="00276608"/>
    <w:rsid w:val="002768FD"/>
    <w:rsid w:val="0028284B"/>
    <w:rsid w:val="002837AA"/>
    <w:rsid w:val="00285AA9"/>
    <w:rsid w:val="00285E5F"/>
    <w:rsid w:val="00286013"/>
    <w:rsid w:val="002870B3"/>
    <w:rsid w:val="002912FE"/>
    <w:rsid w:val="00291C9B"/>
    <w:rsid w:val="00296E36"/>
    <w:rsid w:val="002A191F"/>
    <w:rsid w:val="002B2417"/>
    <w:rsid w:val="002B3343"/>
    <w:rsid w:val="002C0399"/>
    <w:rsid w:val="002C7045"/>
    <w:rsid w:val="002C7BFD"/>
    <w:rsid w:val="002D149D"/>
    <w:rsid w:val="002D3AB9"/>
    <w:rsid w:val="002E0BB5"/>
    <w:rsid w:val="002E1943"/>
    <w:rsid w:val="002E544E"/>
    <w:rsid w:val="002F1CDF"/>
    <w:rsid w:val="0030202C"/>
    <w:rsid w:val="00302500"/>
    <w:rsid w:val="003147B0"/>
    <w:rsid w:val="00315831"/>
    <w:rsid w:val="00320AA0"/>
    <w:rsid w:val="00323FB4"/>
    <w:rsid w:val="003262CB"/>
    <w:rsid w:val="00327AFE"/>
    <w:rsid w:val="0034527E"/>
    <w:rsid w:val="00352285"/>
    <w:rsid w:val="00352DE2"/>
    <w:rsid w:val="0035528C"/>
    <w:rsid w:val="0036155A"/>
    <w:rsid w:val="00370B86"/>
    <w:rsid w:val="00371177"/>
    <w:rsid w:val="00371632"/>
    <w:rsid w:val="00371A9C"/>
    <w:rsid w:val="00372955"/>
    <w:rsid w:val="0037552A"/>
    <w:rsid w:val="003759FD"/>
    <w:rsid w:val="00377034"/>
    <w:rsid w:val="003816BE"/>
    <w:rsid w:val="003818F3"/>
    <w:rsid w:val="003A10B8"/>
    <w:rsid w:val="003A3C75"/>
    <w:rsid w:val="003A7154"/>
    <w:rsid w:val="003B1056"/>
    <w:rsid w:val="003B1292"/>
    <w:rsid w:val="003B1918"/>
    <w:rsid w:val="003B1E86"/>
    <w:rsid w:val="003B3608"/>
    <w:rsid w:val="003B37FD"/>
    <w:rsid w:val="003C0384"/>
    <w:rsid w:val="003C184B"/>
    <w:rsid w:val="003C3F6E"/>
    <w:rsid w:val="003C43BA"/>
    <w:rsid w:val="003E32DD"/>
    <w:rsid w:val="003E7955"/>
    <w:rsid w:val="004031B6"/>
    <w:rsid w:val="00405600"/>
    <w:rsid w:val="0040642C"/>
    <w:rsid w:val="00407F38"/>
    <w:rsid w:val="00410211"/>
    <w:rsid w:val="0041392C"/>
    <w:rsid w:val="00420AF7"/>
    <w:rsid w:val="0042192A"/>
    <w:rsid w:val="00423EAA"/>
    <w:rsid w:val="00424B63"/>
    <w:rsid w:val="004251A3"/>
    <w:rsid w:val="00427CD6"/>
    <w:rsid w:val="00433496"/>
    <w:rsid w:val="00434D19"/>
    <w:rsid w:val="00434F2F"/>
    <w:rsid w:val="004407BE"/>
    <w:rsid w:val="00452680"/>
    <w:rsid w:val="004602D7"/>
    <w:rsid w:val="004636B9"/>
    <w:rsid w:val="004644F2"/>
    <w:rsid w:val="00476723"/>
    <w:rsid w:val="00481752"/>
    <w:rsid w:val="00484F0C"/>
    <w:rsid w:val="004853BC"/>
    <w:rsid w:val="00487875"/>
    <w:rsid w:val="004940E2"/>
    <w:rsid w:val="004971F9"/>
    <w:rsid w:val="004A1754"/>
    <w:rsid w:val="004A2E50"/>
    <w:rsid w:val="004A3E6B"/>
    <w:rsid w:val="004A3F6B"/>
    <w:rsid w:val="004A7DF7"/>
    <w:rsid w:val="004B1351"/>
    <w:rsid w:val="004B437D"/>
    <w:rsid w:val="004C1A06"/>
    <w:rsid w:val="004C7A4D"/>
    <w:rsid w:val="004D1A6C"/>
    <w:rsid w:val="004D46B9"/>
    <w:rsid w:val="004E1F58"/>
    <w:rsid w:val="004E3620"/>
    <w:rsid w:val="004E66CD"/>
    <w:rsid w:val="004E6E8B"/>
    <w:rsid w:val="004F3549"/>
    <w:rsid w:val="004F50E1"/>
    <w:rsid w:val="004F5CB0"/>
    <w:rsid w:val="0050175C"/>
    <w:rsid w:val="0050369B"/>
    <w:rsid w:val="00506D86"/>
    <w:rsid w:val="00514F11"/>
    <w:rsid w:val="00516448"/>
    <w:rsid w:val="00516BA4"/>
    <w:rsid w:val="00523D2A"/>
    <w:rsid w:val="00531154"/>
    <w:rsid w:val="005319F4"/>
    <w:rsid w:val="00532EB4"/>
    <w:rsid w:val="005340A3"/>
    <w:rsid w:val="005345EC"/>
    <w:rsid w:val="00536783"/>
    <w:rsid w:val="00536D8B"/>
    <w:rsid w:val="0054251E"/>
    <w:rsid w:val="00552684"/>
    <w:rsid w:val="00553822"/>
    <w:rsid w:val="00556AC1"/>
    <w:rsid w:val="005575D5"/>
    <w:rsid w:val="00565628"/>
    <w:rsid w:val="00582033"/>
    <w:rsid w:val="005861DC"/>
    <w:rsid w:val="00594E58"/>
    <w:rsid w:val="00595D9D"/>
    <w:rsid w:val="00597AC5"/>
    <w:rsid w:val="005A0E7E"/>
    <w:rsid w:val="005A12E2"/>
    <w:rsid w:val="005B02E1"/>
    <w:rsid w:val="005B0BA1"/>
    <w:rsid w:val="005C1ED1"/>
    <w:rsid w:val="005C35C4"/>
    <w:rsid w:val="005C450B"/>
    <w:rsid w:val="005C4C40"/>
    <w:rsid w:val="005C76FE"/>
    <w:rsid w:val="005D1F32"/>
    <w:rsid w:val="005D2B9E"/>
    <w:rsid w:val="005D3324"/>
    <w:rsid w:val="005E5499"/>
    <w:rsid w:val="005F094D"/>
    <w:rsid w:val="005F2990"/>
    <w:rsid w:val="005F5B9D"/>
    <w:rsid w:val="00600182"/>
    <w:rsid w:val="0060055A"/>
    <w:rsid w:val="00600B44"/>
    <w:rsid w:val="00601A35"/>
    <w:rsid w:val="00601E40"/>
    <w:rsid w:val="006022AB"/>
    <w:rsid w:val="006028F8"/>
    <w:rsid w:val="006061BE"/>
    <w:rsid w:val="00610BF1"/>
    <w:rsid w:val="00615973"/>
    <w:rsid w:val="00622C2E"/>
    <w:rsid w:val="006277AD"/>
    <w:rsid w:val="0063284F"/>
    <w:rsid w:val="00633E8E"/>
    <w:rsid w:val="00634BF0"/>
    <w:rsid w:val="00635019"/>
    <w:rsid w:val="006366CD"/>
    <w:rsid w:val="00637E5C"/>
    <w:rsid w:val="006428DF"/>
    <w:rsid w:val="006436D7"/>
    <w:rsid w:val="00643D1C"/>
    <w:rsid w:val="00650529"/>
    <w:rsid w:val="00650A1B"/>
    <w:rsid w:val="006517FC"/>
    <w:rsid w:val="00655D35"/>
    <w:rsid w:val="00657DE9"/>
    <w:rsid w:val="00664F78"/>
    <w:rsid w:val="00666CDA"/>
    <w:rsid w:val="00667C6F"/>
    <w:rsid w:val="00667ED0"/>
    <w:rsid w:val="00672140"/>
    <w:rsid w:val="0067293F"/>
    <w:rsid w:val="00674B70"/>
    <w:rsid w:val="00677269"/>
    <w:rsid w:val="00677E0F"/>
    <w:rsid w:val="00692575"/>
    <w:rsid w:val="00693930"/>
    <w:rsid w:val="00693C2E"/>
    <w:rsid w:val="00695910"/>
    <w:rsid w:val="006A0885"/>
    <w:rsid w:val="006A10F8"/>
    <w:rsid w:val="006A215E"/>
    <w:rsid w:val="006B15BF"/>
    <w:rsid w:val="006B34C5"/>
    <w:rsid w:val="006B40E5"/>
    <w:rsid w:val="006B4515"/>
    <w:rsid w:val="006B6BBF"/>
    <w:rsid w:val="006C10BF"/>
    <w:rsid w:val="006C1978"/>
    <w:rsid w:val="006C4DE6"/>
    <w:rsid w:val="006C5706"/>
    <w:rsid w:val="006C5E61"/>
    <w:rsid w:val="006C7BCD"/>
    <w:rsid w:val="006D1CBE"/>
    <w:rsid w:val="006D39EE"/>
    <w:rsid w:val="006D5526"/>
    <w:rsid w:val="006D7B84"/>
    <w:rsid w:val="006E117B"/>
    <w:rsid w:val="006E341E"/>
    <w:rsid w:val="006F1442"/>
    <w:rsid w:val="007031D3"/>
    <w:rsid w:val="0070375C"/>
    <w:rsid w:val="00704FC5"/>
    <w:rsid w:val="0071325E"/>
    <w:rsid w:val="00713B8A"/>
    <w:rsid w:val="00714264"/>
    <w:rsid w:val="00720927"/>
    <w:rsid w:val="00721A39"/>
    <w:rsid w:val="00722E42"/>
    <w:rsid w:val="00723811"/>
    <w:rsid w:val="007271A8"/>
    <w:rsid w:val="00730FC2"/>
    <w:rsid w:val="00731834"/>
    <w:rsid w:val="00733354"/>
    <w:rsid w:val="00733C60"/>
    <w:rsid w:val="007374C0"/>
    <w:rsid w:val="007432AB"/>
    <w:rsid w:val="00744B1E"/>
    <w:rsid w:val="00761154"/>
    <w:rsid w:val="00763F00"/>
    <w:rsid w:val="00764D72"/>
    <w:rsid w:val="00765FF3"/>
    <w:rsid w:val="007662A6"/>
    <w:rsid w:val="00771CB1"/>
    <w:rsid w:val="00782A3A"/>
    <w:rsid w:val="007843A0"/>
    <w:rsid w:val="00786CB7"/>
    <w:rsid w:val="00791B53"/>
    <w:rsid w:val="00792713"/>
    <w:rsid w:val="00793CE3"/>
    <w:rsid w:val="00794D38"/>
    <w:rsid w:val="00795021"/>
    <w:rsid w:val="007A47AE"/>
    <w:rsid w:val="007B1981"/>
    <w:rsid w:val="007B25D6"/>
    <w:rsid w:val="007B365B"/>
    <w:rsid w:val="007B3761"/>
    <w:rsid w:val="007C1FD1"/>
    <w:rsid w:val="007C23C7"/>
    <w:rsid w:val="007C359E"/>
    <w:rsid w:val="007E2A84"/>
    <w:rsid w:val="007E3313"/>
    <w:rsid w:val="007E3A60"/>
    <w:rsid w:val="007E7B6C"/>
    <w:rsid w:val="007F0A01"/>
    <w:rsid w:val="007F114F"/>
    <w:rsid w:val="00801064"/>
    <w:rsid w:val="00801388"/>
    <w:rsid w:val="00805C71"/>
    <w:rsid w:val="008074AE"/>
    <w:rsid w:val="00810B1A"/>
    <w:rsid w:val="00812327"/>
    <w:rsid w:val="00815850"/>
    <w:rsid w:val="00816CBA"/>
    <w:rsid w:val="00821757"/>
    <w:rsid w:val="00830710"/>
    <w:rsid w:val="0083296A"/>
    <w:rsid w:val="00842CC5"/>
    <w:rsid w:val="00844DFC"/>
    <w:rsid w:val="00850D61"/>
    <w:rsid w:val="00856158"/>
    <w:rsid w:val="00861938"/>
    <w:rsid w:val="008622EE"/>
    <w:rsid w:val="008674DE"/>
    <w:rsid w:val="00871249"/>
    <w:rsid w:val="00871469"/>
    <w:rsid w:val="00874281"/>
    <w:rsid w:val="00875280"/>
    <w:rsid w:val="0088008E"/>
    <w:rsid w:val="00884B59"/>
    <w:rsid w:val="00893D8F"/>
    <w:rsid w:val="008A3A81"/>
    <w:rsid w:val="008A7CAD"/>
    <w:rsid w:val="008B13CC"/>
    <w:rsid w:val="008B7204"/>
    <w:rsid w:val="008C040B"/>
    <w:rsid w:val="008C2238"/>
    <w:rsid w:val="008D1FB0"/>
    <w:rsid w:val="008E3E74"/>
    <w:rsid w:val="008F4979"/>
    <w:rsid w:val="008F59D9"/>
    <w:rsid w:val="008F739B"/>
    <w:rsid w:val="008F7A94"/>
    <w:rsid w:val="009110CD"/>
    <w:rsid w:val="009122AC"/>
    <w:rsid w:val="00913DB3"/>
    <w:rsid w:val="00916508"/>
    <w:rsid w:val="009202CB"/>
    <w:rsid w:val="00926F59"/>
    <w:rsid w:val="0093283A"/>
    <w:rsid w:val="00936AB8"/>
    <w:rsid w:val="009375C4"/>
    <w:rsid w:val="00940456"/>
    <w:rsid w:val="009430A1"/>
    <w:rsid w:val="0094510A"/>
    <w:rsid w:val="00950E30"/>
    <w:rsid w:val="009520C7"/>
    <w:rsid w:val="00953126"/>
    <w:rsid w:val="009534F9"/>
    <w:rsid w:val="0095399B"/>
    <w:rsid w:val="00954801"/>
    <w:rsid w:val="0096045F"/>
    <w:rsid w:val="009625D1"/>
    <w:rsid w:val="0096444B"/>
    <w:rsid w:val="00972A2F"/>
    <w:rsid w:val="0097665A"/>
    <w:rsid w:val="00976FC2"/>
    <w:rsid w:val="00981EE2"/>
    <w:rsid w:val="009822AC"/>
    <w:rsid w:val="009827B3"/>
    <w:rsid w:val="00984EF1"/>
    <w:rsid w:val="009863B5"/>
    <w:rsid w:val="00993D60"/>
    <w:rsid w:val="0099470B"/>
    <w:rsid w:val="00996525"/>
    <w:rsid w:val="009A1541"/>
    <w:rsid w:val="009B43E3"/>
    <w:rsid w:val="009B5CC8"/>
    <w:rsid w:val="009B6144"/>
    <w:rsid w:val="009C17B7"/>
    <w:rsid w:val="009C71E4"/>
    <w:rsid w:val="009E170A"/>
    <w:rsid w:val="009F13B0"/>
    <w:rsid w:val="009F337B"/>
    <w:rsid w:val="009F3FAD"/>
    <w:rsid w:val="009F6974"/>
    <w:rsid w:val="009F732A"/>
    <w:rsid w:val="00A01801"/>
    <w:rsid w:val="00A0356F"/>
    <w:rsid w:val="00A07AEC"/>
    <w:rsid w:val="00A13D35"/>
    <w:rsid w:val="00A204EE"/>
    <w:rsid w:val="00A2117D"/>
    <w:rsid w:val="00A25947"/>
    <w:rsid w:val="00A33BA4"/>
    <w:rsid w:val="00A37D16"/>
    <w:rsid w:val="00A46E96"/>
    <w:rsid w:val="00A47978"/>
    <w:rsid w:val="00A562AE"/>
    <w:rsid w:val="00A577A0"/>
    <w:rsid w:val="00A6051A"/>
    <w:rsid w:val="00A6501E"/>
    <w:rsid w:val="00A713AD"/>
    <w:rsid w:val="00A71476"/>
    <w:rsid w:val="00A730F1"/>
    <w:rsid w:val="00A8385C"/>
    <w:rsid w:val="00A85065"/>
    <w:rsid w:val="00A8550A"/>
    <w:rsid w:val="00A86265"/>
    <w:rsid w:val="00A8714A"/>
    <w:rsid w:val="00A874D0"/>
    <w:rsid w:val="00A87721"/>
    <w:rsid w:val="00A9504D"/>
    <w:rsid w:val="00A95EE3"/>
    <w:rsid w:val="00A96E17"/>
    <w:rsid w:val="00AA0CAF"/>
    <w:rsid w:val="00AA1861"/>
    <w:rsid w:val="00AA198D"/>
    <w:rsid w:val="00AB0224"/>
    <w:rsid w:val="00AB1E91"/>
    <w:rsid w:val="00AB3C67"/>
    <w:rsid w:val="00AB60E1"/>
    <w:rsid w:val="00AC0CFD"/>
    <w:rsid w:val="00AC27B4"/>
    <w:rsid w:val="00AC4677"/>
    <w:rsid w:val="00AD1E21"/>
    <w:rsid w:val="00AD3F97"/>
    <w:rsid w:val="00AD5436"/>
    <w:rsid w:val="00AD75E2"/>
    <w:rsid w:val="00AE0606"/>
    <w:rsid w:val="00AE2A53"/>
    <w:rsid w:val="00AE3A7F"/>
    <w:rsid w:val="00AE4FEA"/>
    <w:rsid w:val="00AE55FA"/>
    <w:rsid w:val="00AE68B9"/>
    <w:rsid w:val="00AE73BD"/>
    <w:rsid w:val="00AF26FA"/>
    <w:rsid w:val="00AF2714"/>
    <w:rsid w:val="00AF6219"/>
    <w:rsid w:val="00B01130"/>
    <w:rsid w:val="00B016BC"/>
    <w:rsid w:val="00B02A12"/>
    <w:rsid w:val="00B20525"/>
    <w:rsid w:val="00B27946"/>
    <w:rsid w:val="00B30B3A"/>
    <w:rsid w:val="00B3130B"/>
    <w:rsid w:val="00B366A0"/>
    <w:rsid w:val="00B3736F"/>
    <w:rsid w:val="00B45D41"/>
    <w:rsid w:val="00B50A47"/>
    <w:rsid w:val="00B54A31"/>
    <w:rsid w:val="00B605DC"/>
    <w:rsid w:val="00B61661"/>
    <w:rsid w:val="00B63F86"/>
    <w:rsid w:val="00B67647"/>
    <w:rsid w:val="00B7256F"/>
    <w:rsid w:val="00B7538A"/>
    <w:rsid w:val="00B83FC5"/>
    <w:rsid w:val="00B85695"/>
    <w:rsid w:val="00B87256"/>
    <w:rsid w:val="00BA1F99"/>
    <w:rsid w:val="00BA4BDF"/>
    <w:rsid w:val="00BB0725"/>
    <w:rsid w:val="00BB7450"/>
    <w:rsid w:val="00BB7E64"/>
    <w:rsid w:val="00BC411C"/>
    <w:rsid w:val="00BD51CF"/>
    <w:rsid w:val="00BE0973"/>
    <w:rsid w:val="00BE56D6"/>
    <w:rsid w:val="00BF26CA"/>
    <w:rsid w:val="00BF3EF1"/>
    <w:rsid w:val="00BF53C2"/>
    <w:rsid w:val="00BF78FB"/>
    <w:rsid w:val="00C010A5"/>
    <w:rsid w:val="00C02784"/>
    <w:rsid w:val="00C028E7"/>
    <w:rsid w:val="00C02AA7"/>
    <w:rsid w:val="00C06832"/>
    <w:rsid w:val="00C07CB2"/>
    <w:rsid w:val="00C10F73"/>
    <w:rsid w:val="00C17A88"/>
    <w:rsid w:val="00C31E97"/>
    <w:rsid w:val="00C33224"/>
    <w:rsid w:val="00C35B2E"/>
    <w:rsid w:val="00C3650F"/>
    <w:rsid w:val="00C41576"/>
    <w:rsid w:val="00C4541E"/>
    <w:rsid w:val="00C471E7"/>
    <w:rsid w:val="00C51526"/>
    <w:rsid w:val="00C53349"/>
    <w:rsid w:val="00C53E5C"/>
    <w:rsid w:val="00C56C07"/>
    <w:rsid w:val="00C6223D"/>
    <w:rsid w:val="00C623B9"/>
    <w:rsid w:val="00C62542"/>
    <w:rsid w:val="00C62A5D"/>
    <w:rsid w:val="00C63BCF"/>
    <w:rsid w:val="00C65D48"/>
    <w:rsid w:val="00C70967"/>
    <w:rsid w:val="00C74A6B"/>
    <w:rsid w:val="00C7544E"/>
    <w:rsid w:val="00C76592"/>
    <w:rsid w:val="00C803FF"/>
    <w:rsid w:val="00C80E72"/>
    <w:rsid w:val="00C833C8"/>
    <w:rsid w:val="00C838FA"/>
    <w:rsid w:val="00C85FD3"/>
    <w:rsid w:val="00C862EB"/>
    <w:rsid w:val="00C9178E"/>
    <w:rsid w:val="00C94CDD"/>
    <w:rsid w:val="00C97A0D"/>
    <w:rsid w:val="00CA1AEF"/>
    <w:rsid w:val="00CA3F7E"/>
    <w:rsid w:val="00CA445D"/>
    <w:rsid w:val="00CB3005"/>
    <w:rsid w:val="00CB3445"/>
    <w:rsid w:val="00CC62C9"/>
    <w:rsid w:val="00CD02CA"/>
    <w:rsid w:val="00CD08DD"/>
    <w:rsid w:val="00CD72C9"/>
    <w:rsid w:val="00CE2511"/>
    <w:rsid w:val="00CE5827"/>
    <w:rsid w:val="00CE689B"/>
    <w:rsid w:val="00CF279F"/>
    <w:rsid w:val="00CF2F90"/>
    <w:rsid w:val="00CF43D5"/>
    <w:rsid w:val="00D03ADF"/>
    <w:rsid w:val="00D0460A"/>
    <w:rsid w:val="00D07741"/>
    <w:rsid w:val="00D07A86"/>
    <w:rsid w:val="00D11D9A"/>
    <w:rsid w:val="00D13FF0"/>
    <w:rsid w:val="00D16E23"/>
    <w:rsid w:val="00D2127A"/>
    <w:rsid w:val="00D22E8A"/>
    <w:rsid w:val="00D249AE"/>
    <w:rsid w:val="00D26343"/>
    <w:rsid w:val="00D2634B"/>
    <w:rsid w:val="00D40408"/>
    <w:rsid w:val="00D5349B"/>
    <w:rsid w:val="00D56A27"/>
    <w:rsid w:val="00D659F9"/>
    <w:rsid w:val="00D67CB1"/>
    <w:rsid w:val="00D731D1"/>
    <w:rsid w:val="00D75086"/>
    <w:rsid w:val="00D76541"/>
    <w:rsid w:val="00D87A41"/>
    <w:rsid w:val="00D90BC6"/>
    <w:rsid w:val="00D91C19"/>
    <w:rsid w:val="00D93DDE"/>
    <w:rsid w:val="00D945F3"/>
    <w:rsid w:val="00D94A7A"/>
    <w:rsid w:val="00DA1C60"/>
    <w:rsid w:val="00DA73B3"/>
    <w:rsid w:val="00DB0A64"/>
    <w:rsid w:val="00DB136F"/>
    <w:rsid w:val="00DC1F2D"/>
    <w:rsid w:val="00DC36EA"/>
    <w:rsid w:val="00DC3BE9"/>
    <w:rsid w:val="00DC47E5"/>
    <w:rsid w:val="00DC7945"/>
    <w:rsid w:val="00DD1773"/>
    <w:rsid w:val="00DD243E"/>
    <w:rsid w:val="00DD4DE3"/>
    <w:rsid w:val="00DD5252"/>
    <w:rsid w:val="00DD5609"/>
    <w:rsid w:val="00DD7D43"/>
    <w:rsid w:val="00DE17F1"/>
    <w:rsid w:val="00DE3936"/>
    <w:rsid w:val="00DE6F78"/>
    <w:rsid w:val="00DF15CD"/>
    <w:rsid w:val="00DF2209"/>
    <w:rsid w:val="00DF3D9A"/>
    <w:rsid w:val="00E0525B"/>
    <w:rsid w:val="00E0668A"/>
    <w:rsid w:val="00E07F74"/>
    <w:rsid w:val="00E10EC5"/>
    <w:rsid w:val="00E1320A"/>
    <w:rsid w:val="00E14875"/>
    <w:rsid w:val="00E14B1B"/>
    <w:rsid w:val="00E1511F"/>
    <w:rsid w:val="00E16A00"/>
    <w:rsid w:val="00E3083F"/>
    <w:rsid w:val="00E35BA4"/>
    <w:rsid w:val="00E37445"/>
    <w:rsid w:val="00E43F38"/>
    <w:rsid w:val="00E44965"/>
    <w:rsid w:val="00E464ED"/>
    <w:rsid w:val="00E47F49"/>
    <w:rsid w:val="00E51881"/>
    <w:rsid w:val="00E70AC9"/>
    <w:rsid w:val="00E727AB"/>
    <w:rsid w:val="00E80592"/>
    <w:rsid w:val="00E807A6"/>
    <w:rsid w:val="00E80D78"/>
    <w:rsid w:val="00E851DE"/>
    <w:rsid w:val="00E87F27"/>
    <w:rsid w:val="00E92E31"/>
    <w:rsid w:val="00E9348C"/>
    <w:rsid w:val="00EA286F"/>
    <w:rsid w:val="00EA4BD7"/>
    <w:rsid w:val="00EA6041"/>
    <w:rsid w:val="00EA6B5A"/>
    <w:rsid w:val="00EC2CBB"/>
    <w:rsid w:val="00EC3593"/>
    <w:rsid w:val="00EC539A"/>
    <w:rsid w:val="00EC62C9"/>
    <w:rsid w:val="00EC6701"/>
    <w:rsid w:val="00EC7541"/>
    <w:rsid w:val="00EC7995"/>
    <w:rsid w:val="00ED007A"/>
    <w:rsid w:val="00ED0E65"/>
    <w:rsid w:val="00ED64AB"/>
    <w:rsid w:val="00ED792F"/>
    <w:rsid w:val="00ED7BD0"/>
    <w:rsid w:val="00EE2481"/>
    <w:rsid w:val="00EE657E"/>
    <w:rsid w:val="00EF3BEB"/>
    <w:rsid w:val="00EF5962"/>
    <w:rsid w:val="00F05CD7"/>
    <w:rsid w:val="00F06085"/>
    <w:rsid w:val="00F1295B"/>
    <w:rsid w:val="00F14B85"/>
    <w:rsid w:val="00F16B91"/>
    <w:rsid w:val="00F16FBE"/>
    <w:rsid w:val="00F17C07"/>
    <w:rsid w:val="00F214D2"/>
    <w:rsid w:val="00F21AD6"/>
    <w:rsid w:val="00F245C2"/>
    <w:rsid w:val="00F3032F"/>
    <w:rsid w:val="00F3236B"/>
    <w:rsid w:val="00F33E3C"/>
    <w:rsid w:val="00F370C5"/>
    <w:rsid w:val="00F40004"/>
    <w:rsid w:val="00F407B9"/>
    <w:rsid w:val="00F412F9"/>
    <w:rsid w:val="00F46170"/>
    <w:rsid w:val="00F46C4A"/>
    <w:rsid w:val="00F569C9"/>
    <w:rsid w:val="00F57257"/>
    <w:rsid w:val="00F64EAC"/>
    <w:rsid w:val="00F66811"/>
    <w:rsid w:val="00F70C22"/>
    <w:rsid w:val="00F751AE"/>
    <w:rsid w:val="00F7560E"/>
    <w:rsid w:val="00F818E4"/>
    <w:rsid w:val="00F85522"/>
    <w:rsid w:val="00F91624"/>
    <w:rsid w:val="00F93594"/>
    <w:rsid w:val="00F9418B"/>
    <w:rsid w:val="00F9563A"/>
    <w:rsid w:val="00F96BE2"/>
    <w:rsid w:val="00FA500B"/>
    <w:rsid w:val="00FA5970"/>
    <w:rsid w:val="00FA74BD"/>
    <w:rsid w:val="00FB00B8"/>
    <w:rsid w:val="00FB1994"/>
    <w:rsid w:val="00FB61BA"/>
    <w:rsid w:val="00FB6F04"/>
    <w:rsid w:val="00FC0231"/>
    <w:rsid w:val="00FC3078"/>
    <w:rsid w:val="00FC4710"/>
    <w:rsid w:val="00FC7667"/>
    <w:rsid w:val="00FE39B6"/>
    <w:rsid w:val="00FE3D1E"/>
    <w:rsid w:val="00FE4175"/>
    <w:rsid w:val="00FE4CA0"/>
    <w:rsid w:val="00FF0287"/>
    <w:rsid w:val="00FF6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,"/>
  <w:listSeparator w:val=";"/>
  <w14:docId w14:val="34176ED1"/>
  <w15:docId w15:val="{375C14C5-47F2-4B17-AAEC-392EA6588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line="360" w:lineRule="auto"/>
      <w:ind w:firstLine="3685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line="240" w:lineRule="auto"/>
      <w:ind w:firstLine="4253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D67CB1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5B0BA1"/>
    <w:pPr>
      <w:suppressAutoHyphens/>
      <w:autoSpaceDN w:val="0"/>
      <w:spacing w:before="120" w:after="120" w:line="240" w:lineRule="auto"/>
      <w:ind w:firstLine="567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en-US"/>
    </w:rPr>
  </w:style>
  <w:style w:type="table" w:customStyle="1" w:styleId="Tabelacomgrade3">
    <w:name w:val="Tabela com grade3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4">
    <w:name w:val="Tabela com grade4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rpodetexto">
    <w:name w:val="Body Text"/>
    <w:basedOn w:val="Normal"/>
    <w:link w:val="CorpodetextoChar"/>
    <w:uiPriority w:val="99"/>
    <w:semiHidden/>
    <w:unhideWhenUsed/>
    <w:rsid w:val="00F6681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F66811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6028F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paragraph">
    <w:name w:val="x_paragraph"/>
    <w:basedOn w:val="Normal"/>
    <w:rsid w:val="0099470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xnormaltextrun">
    <w:name w:val="x_normaltextrun"/>
    <w:basedOn w:val="Fontepargpadro"/>
    <w:rsid w:val="009947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9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7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5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97383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08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5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2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0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5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BE3384-1D64-480C-9908-30827E961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AE4DA743.dotx</Template>
  <TotalTime>6431</TotalTime>
  <Pages>2</Pages>
  <Words>1076</Words>
  <Characters>5812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6875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adautomariola</dc:creator>
  <cp:keywords/>
  <dc:description/>
  <cp:lastModifiedBy>adautomariola</cp:lastModifiedBy>
  <cp:revision>13</cp:revision>
  <cp:lastPrinted>2019-10-18T19:06:00Z</cp:lastPrinted>
  <dcterms:created xsi:type="dcterms:W3CDTF">2017-08-11T10:28:00Z</dcterms:created>
  <dcterms:modified xsi:type="dcterms:W3CDTF">2020-05-13T12:25:00Z</dcterms:modified>
</cp:coreProperties>
</file>