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CB1" w:rsidRPr="00D67CB1" w:rsidRDefault="00D67CB1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  <w:bookmarkStart w:id="0" w:name="_Hlk536717685"/>
      <w:r w:rsidRPr="00D67CB1">
        <w:rPr>
          <w:rFonts w:ascii="Century Gothic" w:hAnsi="Century Gothic" w:cs="Arial Black"/>
          <w:b/>
          <w:bCs/>
        </w:rPr>
        <w:t>INSTITUTO DE PREVIDÊNCIA DO MUNICÍPIO DE VOTUPORANGA</w:t>
      </w:r>
    </w:p>
    <w:p w:rsidR="00D67CB1" w:rsidRDefault="00D67CB1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  <w:r w:rsidRPr="00D67CB1">
        <w:rPr>
          <w:rFonts w:ascii="Century Gothic" w:hAnsi="Century Gothic" w:cs="Arial Black"/>
          <w:b/>
          <w:bCs/>
        </w:rPr>
        <w:t>COMITÊ DE INVESTIMENTOS</w:t>
      </w:r>
    </w:p>
    <w:p w:rsidR="00EF3BEB" w:rsidRDefault="00EF3BEB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</w:p>
    <w:p w:rsidR="00D56685" w:rsidRDefault="001D67ED" w:rsidP="00B366A0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</w:rPr>
      </w:pPr>
      <w:r w:rsidRPr="00996525">
        <w:rPr>
          <w:rFonts w:ascii="Century Gothic" w:hAnsi="Century Gothic" w:cs="Arial"/>
          <w:b/>
        </w:rPr>
        <w:t xml:space="preserve">Ata n° </w:t>
      </w:r>
      <w:r w:rsidR="004A5CC2">
        <w:rPr>
          <w:rFonts w:ascii="Century Gothic" w:hAnsi="Century Gothic" w:cs="Arial"/>
          <w:b/>
        </w:rPr>
        <w:t>9</w:t>
      </w:r>
      <w:r w:rsidR="00BB3D55">
        <w:rPr>
          <w:rFonts w:ascii="Century Gothic" w:hAnsi="Century Gothic" w:cs="Arial"/>
          <w:b/>
        </w:rPr>
        <w:t>3</w:t>
      </w:r>
      <w:r w:rsidRPr="00996525">
        <w:rPr>
          <w:rFonts w:ascii="Century Gothic" w:hAnsi="Century Gothic" w:cs="Arial"/>
          <w:b/>
        </w:rPr>
        <w:t>ª/20</w:t>
      </w:r>
      <w:r w:rsidR="000517D1">
        <w:rPr>
          <w:rFonts w:ascii="Century Gothic" w:hAnsi="Century Gothic" w:cs="Arial"/>
          <w:b/>
        </w:rPr>
        <w:t>20</w:t>
      </w:r>
      <w:r w:rsidRPr="00996525">
        <w:rPr>
          <w:rFonts w:ascii="Century Gothic" w:hAnsi="Century Gothic" w:cs="Arial"/>
        </w:rPr>
        <w:t xml:space="preserve"> - Aos </w:t>
      </w:r>
      <w:r w:rsidR="00BB3D55">
        <w:rPr>
          <w:rFonts w:ascii="Century Gothic" w:hAnsi="Century Gothic" w:cs="Arial"/>
        </w:rPr>
        <w:t>20</w:t>
      </w:r>
      <w:r w:rsidR="00856158" w:rsidRPr="00996525">
        <w:rPr>
          <w:rFonts w:ascii="Century Gothic" w:hAnsi="Century Gothic" w:cs="Arial"/>
        </w:rPr>
        <w:t xml:space="preserve"> </w:t>
      </w:r>
      <w:r w:rsidRPr="00996525">
        <w:rPr>
          <w:rFonts w:ascii="Century Gothic" w:hAnsi="Century Gothic" w:cs="Arial"/>
        </w:rPr>
        <w:t xml:space="preserve">dias do mês de </w:t>
      </w:r>
      <w:r w:rsidR="000A708E">
        <w:rPr>
          <w:rFonts w:ascii="Century Gothic" w:hAnsi="Century Gothic" w:cs="Arial"/>
        </w:rPr>
        <w:t>ju</w:t>
      </w:r>
      <w:r w:rsidR="00BB3D55">
        <w:rPr>
          <w:rFonts w:ascii="Century Gothic" w:hAnsi="Century Gothic" w:cs="Arial"/>
        </w:rPr>
        <w:t>l</w:t>
      </w:r>
      <w:r w:rsidR="000A708E">
        <w:rPr>
          <w:rFonts w:ascii="Century Gothic" w:hAnsi="Century Gothic" w:cs="Arial"/>
        </w:rPr>
        <w:t>ho</w:t>
      </w:r>
      <w:r w:rsidR="00FF0287" w:rsidRPr="00996525">
        <w:rPr>
          <w:rFonts w:ascii="Century Gothic" w:hAnsi="Century Gothic" w:cs="Arial"/>
        </w:rPr>
        <w:t xml:space="preserve"> </w:t>
      </w:r>
      <w:r w:rsidR="00A6501E" w:rsidRPr="00996525">
        <w:rPr>
          <w:rFonts w:ascii="Century Gothic" w:hAnsi="Century Gothic" w:cs="Arial"/>
        </w:rPr>
        <w:t>do</w:t>
      </w:r>
      <w:r w:rsidRPr="00996525">
        <w:rPr>
          <w:rFonts w:ascii="Century Gothic" w:hAnsi="Century Gothic" w:cs="Arial"/>
        </w:rPr>
        <w:t xml:space="preserve"> ano de </w:t>
      </w:r>
      <w:r w:rsidR="00657DE9">
        <w:rPr>
          <w:rFonts w:ascii="Century Gothic" w:hAnsi="Century Gothic" w:cs="Arial"/>
        </w:rPr>
        <w:t>2020</w:t>
      </w:r>
      <w:r w:rsidR="00856158" w:rsidRPr="00996525">
        <w:rPr>
          <w:rFonts w:ascii="Century Gothic" w:hAnsi="Century Gothic" w:cs="Arial"/>
        </w:rPr>
        <w:t xml:space="preserve">, às </w:t>
      </w:r>
      <w:r w:rsidR="004A5CC2">
        <w:rPr>
          <w:rFonts w:ascii="Century Gothic" w:hAnsi="Century Gothic" w:cs="Arial"/>
        </w:rPr>
        <w:t>15:</w:t>
      </w:r>
      <w:r w:rsidR="000A708E">
        <w:rPr>
          <w:rFonts w:ascii="Century Gothic" w:hAnsi="Century Gothic" w:cs="Arial"/>
        </w:rPr>
        <w:t>0</w:t>
      </w:r>
      <w:r w:rsidR="001B5A68">
        <w:rPr>
          <w:rFonts w:ascii="Century Gothic" w:hAnsi="Century Gothic" w:cs="Arial"/>
        </w:rPr>
        <w:t>0hs</w:t>
      </w:r>
      <w:r w:rsidRPr="00996525">
        <w:rPr>
          <w:rFonts w:ascii="Century Gothic" w:hAnsi="Century Gothic" w:cs="Arial"/>
        </w:rPr>
        <w:t>, reuniram-se os membros do comitê de investimentos</w:t>
      </w:r>
      <w:r w:rsidR="00104CDC">
        <w:rPr>
          <w:rFonts w:ascii="Century Gothic" w:hAnsi="Century Gothic" w:cs="Arial"/>
        </w:rPr>
        <w:t xml:space="preserve">, </w:t>
      </w:r>
      <w:r w:rsidR="00D30075">
        <w:rPr>
          <w:rFonts w:ascii="Century Gothic" w:hAnsi="Century Gothic" w:cs="Arial"/>
        </w:rPr>
        <w:t>onde o Presidente apresentou a rentabilidade</w:t>
      </w:r>
      <w:r w:rsidR="00FA1BEF">
        <w:rPr>
          <w:rFonts w:ascii="Century Gothic" w:hAnsi="Century Gothic" w:cs="Arial"/>
        </w:rPr>
        <w:t xml:space="preserve"> da carteira</w:t>
      </w:r>
      <w:r w:rsidR="00D30075">
        <w:rPr>
          <w:rFonts w:ascii="Century Gothic" w:hAnsi="Century Gothic" w:cs="Arial"/>
        </w:rPr>
        <w:t xml:space="preserve"> do mês de </w:t>
      </w:r>
      <w:r w:rsidR="00BB3D55">
        <w:rPr>
          <w:rFonts w:ascii="Century Gothic" w:hAnsi="Century Gothic" w:cs="Arial"/>
        </w:rPr>
        <w:t>junho</w:t>
      </w:r>
      <w:r w:rsidR="00D30075">
        <w:rPr>
          <w:rFonts w:ascii="Century Gothic" w:hAnsi="Century Gothic" w:cs="Arial"/>
        </w:rPr>
        <w:t>.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128"/>
        <w:gridCol w:w="1573"/>
        <w:gridCol w:w="832"/>
        <w:gridCol w:w="1852"/>
        <w:gridCol w:w="1986"/>
        <w:gridCol w:w="1667"/>
      </w:tblGrid>
      <w:tr w:rsidR="00161971" w:rsidTr="00D46EAA">
        <w:tc>
          <w:tcPr>
            <w:tcW w:w="1128" w:type="dxa"/>
            <w:shd w:val="clear" w:color="auto" w:fill="D9D9D9" w:themeFill="background1" w:themeFillShade="D9"/>
            <w:vAlign w:val="center"/>
          </w:tcPr>
          <w:p w:rsidR="00F14B85" w:rsidRPr="00BB3D55" w:rsidRDefault="00C002F2" w:rsidP="00BB3D5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BB3D55">
              <w:rPr>
                <w:rFonts w:ascii="Century Gothic" w:eastAsiaTheme="minorHAnsi" w:hAnsi="Century Gothic" w:cs="Verdana"/>
                <w:b/>
              </w:rPr>
              <w:t>0</w:t>
            </w:r>
            <w:r w:rsidR="00BB3D55" w:rsidRPr="00BB3D55">
              <w:rPr>
                <w:rFonts w:ascii="Century Gothic" w:eastAsiaTheme="minorHAnsi" w:hAnsi="Century Gothic" w:cs="Verdana"/>
                <w:b/>
              </w:rPr>
              <w:t>6</w:t>
            </w:r>
            <w:r w:rsidRPr="00BB3D55">
              <w:rPr>
                <w:rFonts w:ascii="Century Gothic" w:eastAsiaTheme="minorHAnsi" w:hAnsi="Century Gothic" w:cs="Verdana"/>
                <w:b/>
              </w:rPr>
              <w:t>/2</w:t>
            </w:r>
            <w:r w:rsidR="00791B53" w:rsidRPr="00BB3D55">
              <w:rPr>
                <w:rFonts w:ascii="Century Gothic" w:eastAsiaTheme="minorHAnsi" w:hAnsi="Century Gothic" w:cs="Verdana"/>
                <w:b/>
              </w:rPr>
              <w:t>020</w:t>
            </w:r>
          </w:p>
        </w:tc>
        <w:tc>
          <w:tcPr>
            <w:tcW w:w="1573" w:type="dxa"/>
            <w:shd w:val="clear" w:color="auto" w:fill="D9D9D9" w:themeFill="background1" w:themeFillShade="D9"/>
            <w:vAlign w:val="center"/>
          </w:tcPr>
          <w:p w:rsidR="00F14B85" w:rsidRPr="00BB3D55" w:rsidRDefault="00F14B85" w:rsidP="00BB3D5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BB3D55">
              <w:rPr>
                <w:rFonts w:ascii="Century Gothic" w:eastAsiaTheme="minorHAnsi" w:hAnsi="Century Gothic" w:cs="Verdana"/>
                <w:b/>
              </w:rPr>
              <w:t>Rentabilidade</w:t>
            </w:r>
          </w:p>
        </w:tc>
        <w:tc>
          <w:tcPr>
            <w:tcW w:w="832" w:type="dxa"/>
            <w:shd w:val="clear" w:color="auto" w:fill="D9D9D9" w:themeFill="background1" w:themeFillShade="D9"/>
            <w:vAlign w:val="center"/>
          </w:tcPr>
          <w:p w:rsidR="00F14B85" w:rsidRPr="00BB3D55" w:rsidRDefault="00F14B85" w:rsidP="00BB3D5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BB3D55">
              <w:rPr>
                <w:rFonts w:ascii="Century Gothic" w:eastAsiaTheme="minorHAnsi" w:hAnsi="Century Gothic" w:cs="Verdana"/>
                <w:b/>
              </w:rPr>
              <w:t>IPCA</w:t>
            </w:r>
          </w:p>
        </w:tc>
        <w:tc>
          <w:tcPr>
            <w:tcW w:w="1852" w:type="dxa"/>
            <w:shd w:val="clear" w:color="auto" w:fill="D9D9D9" w:themeFill="background1" w:themeFillShade="D9"/>
          </w:tcPr>
          <w:p w:rsidR="00D46EAA" w:rsidRDefault="00F14B85" w:rsidP="00161971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BB3D55">
              <w:rPr>
                <w:rFonts w:ascii="Century Gothic" w:eastAsiaTheme="minorHAnsi" w:hAnsi="Century Gothic" w:cs="Verdana"/>
                <w:b/>
              </w:rPr>
              <w:t>M</w:t>
            </w:r>
            <w:r w:rsidR="00A8385C" w:rsidRPr="00BB3D55">
              <w:rPr>
                <w:rFonts w:ascii="Century Gothic" w:eastAsiaTheme="minorHAnsi" w:hAnsi="Century Gothic" w:cs="Verdana"/>
                <w:b/>
              </w:rPr>
              <w:t>eta</w:t>
            </w:r>
          </w:p>
          <w:p w:rsidR="00F14B85" w:rsidRPr="00BB3D55" w:rsidRDefault="00F14B85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BB3D55">
              <w:rPr>
                <w:rFonts w:ascii="Century Gothic" w:eastAsiaTheme="minorHAnsi" w:hAnsi="Century Gothic" w:cs="Verdana"/>
                <w:b/>
              </w:rPr>
              <w:t>IPCA+</w:t>
            </w:r>
            <w:r w:rsidR="00A8385C" w:rsidRPr="00BB3D55">
              <w:rPr>
                <w:rFonts w:ascii="Century Gothic" w:eastAsiaTheme="minorHAnsi" w:hAnsi="Century Gothic" w:cs="Verdana"/>
                <w:b/>
              </w:rPr>
              <w:t>5,8</w:t>
            </w:r>
            <w:r w:rsidR="006E65E1" w:rsidRPr="00BB3D55">
              <w:rPr>
                <w:rFonts w:ascii="Century Gothic" w:eastAsiaTheme="minorHAnsi" w:hAnsi="Century Gothic" w:cs="Verdana"/>
                <w:b/>
              </w:rPr>
              <w:t>7</w:t>
            </w:r>
            <w:r w:rsidRPr="00BB3D55">
              <w:rPr>
                <w:rFonts w:ascii="Century Gothic" w:eastAsiaTheme="minorHAnsi" w:hAnsi="Century Gothic" w:cs="Verdana"/>
                <w:b/>
              </w:rPr>
              <w:t>%</w:t>
            </w:r>
          </w:p>
        </w:tc>
        <w:tc>
          <w:tcPr>
            <w:tcW w:w="1986" w:type="dxa"/>
            <w:shd w:val="clear" w:color="auto" w:fill="D9D9D9" w:themeFill="background1" w:themeFillShade="D9"/>
          </w:tcPr>
          <w:p w:rsidR="00D46EAA" w:rsidRDefault="00BB3D55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BB3D55">
              <w:rPr>
                <w:rFonts w:ascii="Century Gothic" w:eastAsiaTheme="minorHAnsi" w:hAnsi="Century Gothic" w:cs="Verdana"/>
                <w:b/>
              </w:rPr>
              <w:t>Rentabilidade</w:t>
            </w:r>
            <w:r w:rsidR="00D46EAA">
              <w:rPr>
                <w:rFonts w:ascii="Century Gothic" w:eastAsiaTheme="minorHAnsi" w:hAnsi="Century Gothic" w:cs="Verdana"/>
                <w:b/>
              </w:rPr>
              <w:t xml:space="preserve"> </w:t>
            </w:r>
          </w:p>
          <w:p w:rsidR="00F14B85" w:rsidRPr="00BB3D55" w:rsidRDefault="00926682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>
              <w:rPr>
                <w:rFonts w:ascii="Century Gothic" w:eastAsiaTheme="minorHAnsi" w:hAnsi="Century Gothic" w:cs="Verdana"/>
                <w:b/>
              </w:rPr>
              <w:t xml:space="preserve">(-) </w:t>
            </w:r>
            <w:r w:rsidR="00D46EAA">
              <w:rPr>
                <w:rFonts w:ascii="Century Gothic" w:eastAsiaTheme="minorHAnsi" w:hAnsi="Century Gothic" w:cs="Verdana"/>
                <w:b/>
              </w:rPr>
              <w:t>Meta</w:t>
            </w:r>
            <w:r w:rsidR="00BB3D55" w:rsidRPr="00BB3D55">
              <w:rPr>
                <w:rFonts w:ascii="Century Gothic" w:eastAsiaTheme="minorHAnsi" w:hAnsi="Century Gothic" w:cs="Verdana"/>
                <w:b/>
              </w:rPr>
              <w:t xml:space="preserve">  </w:t>
            </w:r>
          </w:p>
        </w:tc>
        <w:tc>
          <w:tcPr>
            <w:tcW w:w="1667" w:type="dxa"/>
            <w:vMerge w:val="restart"/>
            <w:shd w:val="clear" w:color="auto" w:fill="D9D9D9" w:themeFill="background1" w:themeFillShade="D9"/>
            <w:vAlign w:val="center"/>
          </w:tcPr>
          <w:p w:rsidR="00F14B85" w:rsidRPr="00161971" w:rsidRDefault="00F14B85" w:rsidP="00BB3D5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161971">
              <w:rPr>
                <w:rFonts w:ascii="Century Gothic" w:eastAsiaTheme="minorHAnsi" w:hAnsi="Century Gothic" w:cs="Verdana"/>
                <w:b/>
              </w:rPr>
              <w:t>TAXA</w:t>
            </w:r>
          </w:p>
          <w:p w:rsidR="00F14B85" w:rsidRPr="00161971" w:rsidRDefault="00F14B85" w:rsidP="00BB3D5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161971">
              <w:rPr>
                <w:rFonts w:ascii="Century Gothic" w:eastAsiaTheme="minorHAnsi" w:hAnsi="Century Gothic" w:cs="Verdana"/>
                <w:b/>
              </w:rPr>
              <w:t>SELIC</w:t>
            </w:r>
          </w:p>
        </w:tc>
      </w:tr>
      <w:tr w:rsidR="00161971" w:rsidTr="00D46EAA">
        <w:tc>
          <w:tcPr>
            <w:tcW w:w="1128" w:type="dxa"/>
          </w:tcPr>
          <w:p w:rsidR="00F14B85" w:rsidRPr="00906730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906730">
              <w:rPr>
                <w:rFonts w:ascii="Century Gothic" w:eastAsiaTheme="minorHAnsi" w:hAnsi="Century Gothic" w:cs="Verdana"/>
                <w:b/>
              </w:rPr>
              <w:t>No mês</w:t>
            </w:r>
          </w:p>
        </w:tc>
        <w:tc>
          <w:tcPr>
            <w:tcW w:w="1573" w:type="dxa"/>
          </w:tcPr>
          <w:p w:rsidR="00F14B85" w:rsidRPr="00BB3D55" w:rsidRDefault="00EC388A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 w:rsidRPr="00BB3D55">
              <w:rPr>
                <w:rFonts w:ascii="Century Gothic" w:eastAsiaTheme="minorHAnsi" w:hAnsi="Century Gothic" w:cs="Verdana"/>
              </w:rPr>
              <w:t>1,</w:t>
            </w:r>
            <w:r w:rsidR="00BB3D55" w:rsidRPr="00BB3D55">
              <w:rPr>
                <w:rFonts w:ascii="Century Gothic" w:eastAsiaTheme="minorHAnsi" w:hAnsi="Century Gothic" w:cs="Verdana"/>
              </w:rPr>
              <w:t>26</w:t>
            </w:r>
          </w:p>
        </w:tc>
        <w:tc>
          <w:tcPr>
            <w:tcW w:w="832" w:type="dxa"/>
          </w:tcPr>
          <w:p w:rsidR="00F14B85" w:rsidRPr="00BB3D55" w:rsidRDefault="00BB3D55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 w:rsidRPr="00BB3D55">
              <w:rPr>
                <w:rFonts w:ascii="Century Gothic" w:eastAsiaTheme="minorHAnsi" w:hAnsi="Century Gothic" w:cs="Verdana"/>
              </w:rPr>
              <w:t>0,26</w:t>
            </w:r>
          </w:p>
        </w:tc>
        <w:tc>
          <w:tcPr>
            <w:tcW w:w="1852" w:type="dxa"/>
          </w:tcPr>
          <w:p w:rsidR="00F14B85" w:rsidRPr="00161971" w:rsidRDefault="00E807A6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 w:rsidRPr="00161971">
              <w:rPr>
                <w:rFonts w:ascii="Century Gothic" w:eastAsiaTheme="minorHAnsi" w:hAnsi="Century Gothic" w:cs="Verdana"/>
              </w:rPr>
              <w:t>0,</w:t>
            </w:r>
            <w:r w:rsidR="00BB3D55" w:rsidRPr="00161971">
              <w:rPr>
                <w:rFonts w:ascii="Century Gothic" w:eastAsiaTheme="minorHAnsi" w:hAnsi="Century Gothic" w:cs="Verdana"/>
              </w:rPr>
              <w:t>74</w:t>
            </w:r>
          </w:p>
        </w:tc>
        <w:tc>
          <w:tcPr>
            <w:tcW w:w="1986" w:type="dxa"/>
          </w:tcPr>
          <w:p w:rsidR="00F14B85" w:rsidRPr="00926682" w:rsidRDefault="00D46EAA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 w:rsidRPr="00926682">
              <w:rPr>
                <w:rFonts w:ascii="Century Gothic" w:eastAsiaTheme="minorHAnsi" w:hAnsi="Century Gothic" w:cs="Verdana"/>
              </w:rPr>
              <w:t>0,52</w:t>
            </w:r>
          </w:p>
        </w:tc>
        <w:tc>
          <w:tcPr>
            <w:tcW w:w="1667" w:type="dxa"/>
            <w:vMerge/>
            <w:shd w:val="clear" w:color="auto" w:fill="D9D9D9" w:themeFill="background1" w:themeFillShade="D9"/>
          </w:tcPr>
          <w:p w:rsidR="00F14B85" w:rsidRPr="00161971" w:rsidRDefault="00F14B85" w:rsidP="0087146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color w:val="FF0000"/>
              </w:rPr>
            </w:pPr>
          </w:p>
        </w:tc>
      </w:tr>
      <w:tr w:rsidR="00161971" w:rsidTr="00D46EAA">
        <w:tc>
          <w:tcPr>
            <w:tcW w:w="1128" w:type="dxa"/>
          </w:tcPr>
          <w:p w:rsidR="00F14B85" w:rsidRPr="00906730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906730">
              <w:rPr>
                <w:rFonts w:ascii="Century Gothic" w:eastAsiaTheme="minorHAnsi" w:hAnsi="Century Gothic" w:cs="Verdana"/>
                <w:b/>
              </w:rPr>
              <w:t>No ano</w:t>
            </w:r>
          </w:p>
        </w:tc>
        <w:tc>
          <w:tcPr>
            <w:tcW w:w="1573" w:type="dxa"/>
          </w:tcPr>
          <w:p w:rsidR="00F14B85" w:rsidRPr="00161971" w:rsidRDefault="00161971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 w:rsidRPr="00161971">
              <w:rPr>
                <w:rFonts w:ascii="Century Gothic" w:eastAsiaTheme="minorHAnsi" w:hAnsi="Century Gothic" w:cs="Verdana"/>
              </w:rPr>
              <w:t>1,21</w:t>
            </w:r>
          </w:p>
        </w:tc>
        <w:tc>
          <w:tcPr>
            <w:tcW w:w="832" w:type="dxa"/>
          </w:tcPr>
          <w:p w:rsidR="00F14B85" w:rsidRPr="00161971" w:rsidRDefault="00161971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0,10</w:t>
            </w:r>
          </w:p>
        </w:tc>
        <w:tc>
          <w:tcPr>
            <w:tcW w:w="1852" w:type="dxa"/>
          </w:tcPr>
          <w:p w:rsidR="00F14B85" w:rsidRPr="00D46EAA" w:rsidRDefault="006E65E1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 w:rsidRPr="00D46EAA">
              <w:rPr>
                <w:rFonts w:ascii="Century Gothic" w:eastAsiaTheme="minorHAnsi" w:hAnsi="Century Gothic" w:cs="Verdana"/>
              </w:rPr>
              <w:t>2,</w:t>
            </w:r>
            <w:r w:rsidR="00D46EAA" w:rsidRPr="00D46EAA">
              <w:rPr>
                <w:rFonts w:ascii="Century Gothic" w:eastAsiaTheme="minorHAnsi" w:hAnsi="Century Gothic" w:cs="Verdana"/>
              </w:rPr>
              <w:t>9</w:t>
            </w:r>
            <w:r w:rsidR="00926682">
              <w:rPr>
                <w:rFonts w:ascii="Century Gothic" w:eastAsiaTheme="minorHAnsi" w:hAnsi="Century Gothic" w:cs="Verdana"/>
              </w:rPr>
              <w:t>9</w:t>
            </w:r>
          </w:p>
        </w:tc>
        <w:tc>
          <w:tcPr>
            <w:tcW w:w="1986" w:type="dxa"/>
          </w:tcPr>
          <w:p w:rsidR="00F14B85" w:rsidRPr="00926682" w:rsidRDefault="00926682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(</w:t>
            </w:r>
            <w:r w:rsidR="00E807A6" w:rsidRPr="00926682">
              <w:rPr>
                <w:rFonts w:ascii="Century Gothic" w:eastAsiaTheme="minorHAnsi" w:hAnsi="Century Gothic" w:cs="Verdana"/>
              </w:rPr>
              <w:t>-</w:t>
            </w:r>
            <w:r w:rsidR="00D46EAA" w:rsidRPr="00926682">
              <w:rPr>
                <w:rFonts w:ascii="Century Gothic" w:eastAsiaTheme="minorHAnsi" w:hAnsi="Century Gothic" w:cs="Verdana"/>
              </w:rPr>
              <w:t>1,78</w:t>
            </w:r>
            <w:r>
              <w:rPr>
                <w:rFonts w:ascii="Century Gothic" w:eastAsiaTheme="minorHAnsi" w:hAnsi="Century Gothic" w:cs="Verdana"/>
              </w:rPr>
              <w:t>)</w:t>
            </w:r>
          </w:p>
        </w:tc>
        <w:tc>
          <w:tcPr>
            <w:tcW w:w="1667" w:type="dxa"/>
          </w:tcPr>
          <w:p w:rsidR="00F14B85" w:rsidRPr="00161971" w:rsidRDefault="00BC631E" w:rsidP="00161971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 w:rsidRPr="00161971">
              <w:rPr>
                <w:rFonts w:ascii="Century Gothic" w:eastAsiaTheme="minorHAnsi" w:hAnsi="Century Gothic" w:cs="Verdana"/>
              </w:rPr>
              <w:t>2,25</w:t>
            </w:r>
            <w:r w:rsidR="00F14B85" w:rsidRPr="00161971">
              <w:rPr>
                <w:rFonts w:ascii="Century Gothic" w:eastAsiaTheme="minorHAnsi" w:hAnsi="Century Gothic" w:cs="Verdana"/>
              </w:rPr>
              <w:t xml:space="preserve">% </w:t>
            </w:r>
          </w:p>
        </w:tc>
      </w:tr>
    </w:tbl>
    <w:p w:rsidR="00926682" w:rsidRDefault="00FA1BEF" w:rsidP="00FA1BEF">
      <w:pPr>
        <w:autoSpaceDE w:val="0"/>
        <w:autoSpaceDN w:val="0"/>
        <w:adjustRightInd w:val="0"/>
        <w:spacing w:line="240" w:lineRule="auto"/>
        <w:jc w:val="center"/>
        <w:rPr>
          <w:rFonts w:ascii="Verdana" w:eastAsiaTheme="minorHAnsi" w:hAnsi="Verdana" w:cs="Verdana"/>
          <w:color w:val="000000"/>
          <w:sz w:val="24"/>
          <w:szCs w:val="24"/>
        </w:rPr>
      </w:pPr>
      <w:r w:rsidRPr="00FA1BEF">
        <w:rPr>
          <w:rFonts w:ascii="Verdana" w:eastAsiaTheme="minorHAnsi" w:hAnsi="Verdana" w:cs="Verdana"/>
          <w:noProof/>
          <w:color w:val="000000"/>
          <w:sz w:val="24"/>
          <w:szCs w:val="24"/>
          <w:lang w:eastAsia="pt-BR"/>
        </w:rPr>
        <w:drawing>
          <wp:inline distT="0" distB="0" distL="0" distR="0">
            <wp:extent cx="4902200" cy="1459865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BEF" w:rsidRDefault="00FA1BEF" w:rsidP="00926682">
      <w:pPr>
        <w:autoSpaceDE w:val="0"/>
        <w:autoSpaceDN w:val="0"/>
        <w:adjustRightInd w:val="0"/>
        <w:spacing w:line="240" w:lineRule="auto"/>
        <w:jc w:val="left"/>
        <w:rPr>
          <w:rFonts w:ascii="Verdana" w:eastAsiaTheme="minorHAnsi" w:hAnsi="Verdana" w:cs="Verdana"/>
          <w:color w:val="000000"/>
          <w:sz w:val="24"/>
          <w:szCs w:val="24"/>
        </w:rPr>
      </w:pPr>
    </w:p>
    <w:p w:rsidR="00FA1BEF" w:rsidRPr="00926682" w:rsidRDefault="00FA1BEF" w:rsidP="00FA1BEF">
      <w:pPr>
        <w:autoSpaceDE w:val="0"/>
        <w:autoSpaceDN w:val="0"/>
        <w:adjustRightInd w:val="0"/>
        <w:spacing w:line="240" w:lineRule="auto"/>
        <w:jc w:val="center"/>
        <w:rPr>
          <w:rFonts w:ascii="Verdana" w:eastAsiaTheme="minorHAnsi" w:hAnsi="Verdana" w:cs="Verdana"/>
          <w:color w:val="000000"/>
          <w:sz w:val="24"/>
          <w:szCs w:val="24"/>
        </w:rPr>
      </w:pPr>
      <w:r w:rsidRPr="00FA1BEF">
        <w:rPr>
          <w:rFonts w:ascii="Verdana" w:eastAsiaTheme="minorHAnsi" w:hAnsi="Verdana" w:cs="Verdana"/>
          <w:noProof/>
          <w:color w:val="000000"/>
          <w:sz w:val="24"/>
          <w:szCs w:val="24"/>
          <w:lang w:eastAsia="pt-BR"/>
        </w:rPr>
        <w:drawing>
          <wp:inline distT="0" distB="0" distL="0" distR="0">
            <wp:extent cx="4979035" cy="1313815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9035" cy="131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6682" w:rsidRDefault="00926682" w:rsidP="00D30075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</w:rPr>
      </w:pPr>
    </w:p>
    <w:p w:rsidR="00E122AB" w:rsidRDefault="00E122AB" w:rsidP="00E122AB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/>
        </w:rPr>
      </w:pPr>
      <w:r w:rsidRPr="00E122AB">
        <w:rPr>
          <w:rFonts w:ascii="Century Gothic" w:hAnsi="Century Gothic" w:cs="Arial"/>
        </w:rPr>
        <w:t>Acerca</w:t>
      </w:r>
      <w:r>
        <w:rPr>
          <w:rFonts w:ascii="Century Gothic" w:hAnsi="Century Gothic" w:cs="Arial"/>
        </w:rPr>
        <w:t xml:space="preserve"> </w:t>
      </w:r>
      <w:r w:rsidRPr="00E122AB">
        <w:rPr>
          <w:rFonts w:ascii="Century Gothic" w:hAnsi="Century Gothic" w:cs="Arial"/>
        </w:rPr>
        <w:t>da Política Monetária, em junho o</w:t>
      </w:r>
      <w:r>
        <w:rPr>
          <w:rFonts w:ascii="Century Gothic" w:hAnsi="Century Gothic" w:cs="Arial"/>
        </w:rPr>
        <w:t xml:space="preserve"> </w:t>
      </w:r>
      <w:r w:rsidRPr="00E122AB">
        <w:rPr>
          <w:rFonts w:ascii="Century Gothic" w:hAnsi="Century Gothic" w:cs="Arial"/>
        </w:rPr>
        <w:t>Copom decidiu, por unanimidade, reduzir a</w:t>
      </w:r>
      <w:r>
        <w:rPr>
          <w:rFonts w:ascii="Century Gothic" w:hAnsi="Century Gothic" w:cs="Arial"/>
        </w:rPr>
        <w:t xml:space="preserve"> </w:t>
      </w:r>
      <w:r w:rsidRPr="00E122AB">
        <w:rPr>
          <w:rFonts w:ascii="Century Gothic" w:hAnsi="Century Gothic" w:cs="Arial"/>
        </w:rPr>
        <w:t xml:space="preserve">taxa básica de juros em 75 </w:t>
      </w:r>
      <w:proofErr w:type="spellStart"/>
      <w:r w:rsidRPr="00E122AB">
        <w:rPr>
          <w:rFonts w:ascii="Century Gothic" w:hAnsi="Century Gothic" w:cs="Arial"/>
        </w:rPr>
        <w:t>bps</w:t>
      </w:r>
      <w:proofErr w:type="spellEnd"/>
      <w:r w:rsidRPr="00E122AB">
        <w:rPr>
          <w:rFonts w:ascii="Century Gothic" w:hAnsi="Century Gothic" w:cs="Arial"/>
        </w:rPr>
        <w:t xml:space="preserve"> para 2</w:t>
      </w:r>
      <w:r w:rsidR="00865963">
        <w:rPr>
          <w:rFonts w:ascii="Century Gothic" w:hAnsi="Century Gothic" w:cs="Arial"/>
        </w:rPr>
        <w:t>,</w:t>
      </w:r>
      <w:r w:rsidRPr="00E122AB">
        <w:rPr>
          <w:rFonts w:ascii="Century Gothic" w:hAnsi="Century Gothic" w:cs="Arial"/>
        </w:rPr>
        <w:t>25aa</w:t>
      </w:r>
      <w:r w:rsidR="00865963">
        <w:rPr>
          <w:rFonts w:ascii="Century Gothic" w:hAnsi="Century Gothic" w:cs="Arial"/>
        </w:rPr>
        <w:t>.</w:t>
      </w:r>
      <w:r w:rsidRPr="00E122AB">
        <w:rPr>
          <w:rFonts w:ascii="Century Gothic" w:hAnsi="Century Gothic" w:cs="Arial"/>
        </w:rPr>
        <w:t xml:space="preserve"> No que se refere a orientação futura</w:t>
      </w:r>
      <w:r>
        <w:rPr>
          <w:rFonts w:ascii="Century Gothic" w:hAnsi="Century Gothic" w:cs="Arial"/>
        </w:rPr>
        <w:t xml:space="preserve"> </w:t>
      </w:r>
      <w:r w:rsidRPr="00E122AB">
        <w:rPr>
          <w:rFonts w:ascii="Century Gothic" w:hAnsi="Century Gothic" w:cs="Arial"/>
        </w:rPr>
        <w:t>para a política monetária, a instituição</w:t>
      </w:r>
      <w:r>
        <w:rPr>
          <w:rFonts w:ascii="Century Gothic" w:hAnsi="Century Gothic" w:cs="Arial"/>
        </w:rPr>
        <w:t xml:space="preserve"> </w:t>
      </w:r>
      <w:r w:rsidRPr="00E122AB">
        <w:rPr>
          <w:rFonts w:ascii="Century Gothic" w:hAnsi="Century Gothic" w:cs="Arial"/>
        </w:rPr>
        <w:t>afirmou que irá avaliar a evolução do</w:t>
      </w:r>
      <w:r>
        <w:rPr>
          <w:rFonts w:ascii="Century Gothic" w:hAnsi="Century Gothic" w:cs="Arial"/>
        </w:rPr>
        <w:t xml:space="preserve"> </w:t>
      </w:r>
      <w:r w:rsidRPr="00E122AB">
        <w:rPr>
          <w:rFonts w:ascii="Century Gothic" w:hAnsi="Century Gothic" w:cs="Arial"/>
        </w:rPr>
        <w:t>cenário, mas adiantou que um eventual</w:t>
      </w:r>
      <w:r>
        <w:rPr>
          <w:rFonts w:ascii="Century Gothic" w:hAnsi="Century Gothic" w:cs="Arial"/>
        </w:rPr>
        <w:t xml:space="preserve"> </w:t>
      </w:r>
      <w:r w:rsidRPr="00E122AB">
        <w:rPr>
          <w:rFonts w:ascii="Century Gothic" w:hAnsi="Century Gothic" w:cs="Arial"/>
        </w:rPr>
        <w:t>ajuste futuro no atual nível de estímulo</w:t>
      </w:r>
      <w:r>
        <w:rPr>
          <w:rFonts w:ascii="Century Gothic" w:hAnsi="Century Gothic" w:cs="Arial"/>
        </w:rPr>
        <w:t xml:space="preserve"> </w:t>
      </w:r>
      <w:r w:rsidR="00865963">
        <w:rPr>
          <w:rFonts w:ascii="Century Gothic" w:hAnsi="Century Gothic" w:cs="Arial"/>
        </w:rPr>
        <w:t xml:space="preserve">monetário seria residual. </w:t>
      </w:r>
      <w:r w:rsidRPr="00E122AB">
        <w:rPr>
          <w:rFonts w:ascii="Century Gothic" w:hAnsi="Century Gothic" w:cs="Arial"/>
        </w:rPr>
        <w:t>No que diz</w:t>
      </w:r>
      <w:r>
        <w:rPr>
          <w:rFonts w:ascii="Century Gothic" w:hAnsi="Century Gothic" w:cs="Arial"/>
        </w:rPr>
        <w:t xml:space="preserve"> </w:t>
      </w:r>
      <w:r w:rsidRPr="00E122AB">
        <w:rPr>
          <w:rFonts w:ascii="Century Gothic" w:hAnsi="Century Gothic" w:cs="Arial"/>
        </w:rPr>
        <w:t>respeito ao balanço de riscos, a autoridade</w:t>
      </w:r>
      <w:r>
        <w:rPr>
          <w:rFonts w:ascii="Century Gothic" w:hAnsi="Century Gothic" w:cs="Arial"/>
        </w:rPr>
        <w:t xml:space="preserve"> </w:t>
      </w:r>
      <w:r w:rsidRPr="00E122AB">
        <w:rPr>
          <w:rFonts w:ascii="Century Gothic" w:hAnsi="Century Gothic" w:cs="Arial"/>
        </w:rPr>
        <w:t>monetária afirmou que este segue</w:t>
      </w:r>
      <w:r>
        <w:rPr>
          <w:rFonts w:ascii="Century Gothic" w:hAnsi="Century Gothic" w:cs="Arial"/>
        </w:rPr>
        <w:t xml:space="preserve"> </w:t>
      </w:r>
      <w:r w:rsidRPr="00E122AB">
        <w:rPr>
          <w:rFonts w:ascii="Century Gothic" w:hAnsi="Century Gothic" w:cs="Arial"/>
        </w:rPr>
        <w:t>assimétrico para o lado positivo</w:t>
      </w:r>
      <w:r w:rsidR="004B75D3">
        <w:rPr>
          <w:rFonts w:ascii="Century Gothic" w:hAnsi="Century Gothic" w:cs="Arial"/>
        </w:rPr>
        <w:t>.</w:t>
      </w:r>
      <w:r w:rsidRPr="00E122AB">
        <w:rPr>
          <w:rFonts w:ascii="Century Gothic" w:hAnsi="Century Gothic" w:cs="Arial"/>
        </w:rPr>
        <w:t xml:space="preserve"> Em nossa</w:t>
      </w:r>
      <w:r>
        <w:rPr>
          <w:rFonts w:ascii="Century Gothic" w:hAnsi="Century Gothic" w:cs="Arial"/>
        </w:rPr>
        <w:t xml:space="preserve"> </w:t>
      </w:r>
      <w:r w:rsidRPr="00E122AB">
        <w:rPr>
          <w:rFonts w:ascii="Century Gothic" w:hAnsi="Century Gothic" w:cs="Arial"/>
        </w:rPr>
        <w:t>visão, o BCB seguirá buscando a</w:t>
      </w:r>
      <w:r>
        <w:rPr>
          <w:rFonts w:ascii="Century Gothic" w:hAnsi="Century Gothic" w:cs="Arial"/>
        </w:rPr>
        <w:t xml:space="preserve"> </w:t>
      </w:r>
      <w:r w:rsidRPr="00E122AB">
        <w:rPr>
          <w:rFonts w:ascii="Century Gothic" w:hAnsi="Century Gothic" w:cs="Arial"/>
        </w:rPr>
        <w:t>conver</w:t>
      </w:r>
      <w:r w:rsidR="004B75D3">
        <w:rPr>
          <w:rFonts w:ascii="Century Gothic" w:hAnsi="Century Gothic" w:cs="Arial"/>
        </w:rPr>
        <w:t>gência da inflação para a meta.</w:t>
      </w:r>
      <w:r>
        <w:rPr>
          <w:rFonts w:ascii="Century Gothic" w:hAnsi="Century Gothic" w:cs="Arial"/>
        </w:rPr>
        <w:t xml:space="preserve"> </w:t>
      </w:r>
      <w:r w:rsidRPr="00E122AB">
        <w:rPr>
          <w:rFonts w:ascii="Century Gothic" w:hAnsi="Century Gothic"/>
        </w:rPr>
        <w:t>Em junho os indicadores de confiança</w:t>
      </w:r>
      <w:r w:rsidR="004B75D3"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seguiram em trajetória positiva.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Apesar da melhora esperada para o 2º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 xml:space="preserve">semestre, </w:t>
      </w:r>
      <w:r w:rsidR="004B75D3">
        <w:rPr>
          <w:rFonts w:ascii="Century Gothic" w:hAnsi="Century Gothic"/>
        </w:rPr>
        <w:t>tem projeção de</w:t>
      </w:r>
      <w:r w:rsidRPr="00E122AB">
        <w:rPr>
          <w:rFonts w:ascii="Century Gothic" w:hAnsi="Century Gothic"/>
        </w:rPr>
        <w:t xml:space="preserve"> queda de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 xml:space="preserve">6,1% </w:t>
      </w:r>
      <w:r w:rsidR="004B75D3">
        <w:rPr>
          <w:rFonts w:ascii="Century Gothic" w:hAnsi="Century Gothic"/>
        </w:rPr>
        <w:t>aa</w:t>
      </w:r>
      <w:r w:rsidRPr="00E122AB">
        <w:rPr>
          <w:rFonts w:ascii="Century Gothic" w:hAnsi="Century Gothic"/>
        </w:rPr>
        <w:t xml:space="preserve"> do PIB, que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refletirá a forte queda da atividade no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primeiro semestre do ano</w:t>
      </w:r>
      <w:r w:rsidR="004B75D3">
        <w:rPr>
          <w:rFonts w:ascii="Century Gothic" w:hAnsi="Century Gothic"/>
        </w:rPr>
        <w:t>.</w:t>
      </w:r>
      <w:r>
        <w:rPr>
          <w:rFonts w:ascii="Century Gothic" w:hAnsi="Century Gothic"/>
        </w:rPr>
        <w:t xml:space="preserve"> </w:t>
      </w:r>
      <w:r w:rsidR="004B75D3">
        <w:rPr>
          <w:rFonts w:ascii="Century Gothic" w:hAnsi="Century Gothic"/>
        </w:rPr>
        <w:t xml:space="preserve">A projeção da SELIC é de </w:t>
      </w:r>
      <w:r w:rsidRPr="00E122AB">
        <w:rPr>
          <w:rFonts w:ascii="Century Gothic" w:hAnsi="Century Gothic"/>
        </w:rPr>
        <w:t>2,00% ao longo de 2020.</w:t>
      </w:r>
      <w:r>
        <w:rPr>
          <w:rFonts w:ascii="Century Gothic" w:hAnsi="Century Gothic"/>
        </w:rPr>
        <w:t xml:space="preserve"> </w:t>
      </w:r>
      <w:r w:rsidR="004B75D3">
        <w:rPr>
          <w:rFonts w:ascii="Century Gothic" w:hAnsi="Century Gothic"/>
        </w:rPr>
        <w:t>Próxima reunião do COPOM é</w:t>
      </w:r>
      <w:r w:rsidRPr="00E122AB">
        <w:rPr>
          <w:rFonts w:ascii="Century Gothic" w:hAnsi="Century Gothic"/>
        </w:rPr>
        <w:t xml:space="preserve"> 04 e 05 de agosto.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Projeção de 0,40% para o IPCA de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julho e 1,70% ao final de 2020.</w:t>
      </w:r>
    </w:p>
    <w:p w:rsidR="00E122AB" w:rsidRDefault="00E122AB" w:rsidP="00E122AB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/>
        </w:rPr>
      </w:pPr>
      <w:r w:rsidRPr="00E122AB">
        <w:rPr>
          <w:rFonts w:ascii="Century Gothic" w:hAnsi="Century Gothic"/>
        </w:rPr>
        <w:t>A continuidade do processo de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reabertura gradativa das economias</w:t>
      </w:r>
      <w:r w:rsidR="00E376B7"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centrais tem sustentado a visão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positiva quanto à retomada da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atividade global. Contudo a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perspectiva é de recuperação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econômica lenta e gradual, refletindo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ainda os efeitos persistentes do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choque do COVID 19</w:t>
      </w:r>
      <w:r w:rsidR="00E376B7">
        <w:rPr>
          <w:rFonts w:ascii="Century Gothic" w:hAnsi="Century Gothic"/>
        </w:rPr>
        <w:t>.</w:t>
      </w:r>
      <w:r>
        <w:rPr>
          <w:rFonts w:ascii="Century Gothic" w:hAnsi="Century Gothic"/>
        </w:rPr>
        <w:t xml:space="preserve"> </w:t>
      </w:r>
      <w:r w:rsidR="00E376B7" w:rsidRPr="00E122AB">
        <w:rPr>
          <w:rFonts w:ascii="Century Gothic" w:hAnsi="Century Gothic"/>
        </w:rPr>
        <w:t>O risco de uma segunda onda de contaminação ainda traz</w:t>
      </w:r>
      <w:r w:rsidRPr="00E122AB">
        <w:rPr>
          <w:rFonts w:ascii="Century Gothic" w:hAnsi="Century Gothic"/>
        </w:rPr>
        <w:t xml:space="preserve"> incertezas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ao cenário macro.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No âmbito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geopolítico, um novo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acirramento das tensões comerciais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entre EUA e China, após a aprovação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lastRenderedPageBreak/>
        <w:t>da nova lei de segurança para Hong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Kong, bem como as incertezas</w:t>
      </w:r>
      <w:r w:rsidR="00E376B7"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políticas em torno da eleição norte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 xml:space="preserve">americana e do </w:t>
      </w:r>
      <w:proofErr w:type="spellStart"/>
      <w:r w:rsidRPr="00E122AB">
        <w:rPr>
          <w:rFonts w:ascii="Century Gothic" w:hAnsi="Century Gothic"/>
        </w:rPr>
        <w:t>Brexit</w:t>
      </w:r>
      <w:proofErr w:type="spellEnd"/>
      <w:r w:rsidRPr="00E122AB">
        <w:rPr>
          <w:rFonts w:ascii="Century Gothic" w:hAnsi="Century Gothic"/>
        </w:rPr>
        <w:t xml:space="preserve"> entram no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radar dos investidores.</w:t>
      </w:r>
    </w:p>
    <w:p w:rsidR="00E122AB" w:rsidRDefault="00E122AB" w:rsidP="00E122AB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/>
        </w:rPr>
      </w:pPr>
      <w:r w:rsidRPr="00E122AB">
        <w:rPr>
          <w:rFonts w:ascii="Century Gothic" w:hAnsi="Century Gothic"/>
        </w:rPr>
        <w:t>Sobre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as perspectivas para o mercado de juros, seguimos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positivos com posições prefixadas intermediárias, com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vencimentos entre 1 e 3 anos, especialmente no trecho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 xml:space="preserve">compreendido entre </w:t>
      </w:r>
      <w:proofErr w:type="spellStart"/>
      <w:r w:rsidRPr="00E122AB">
        <w:rPr>
          <w:rFonts w:ascii="Century Gothic" w:hAnsi="Century Gothic"/>
        </w:rPr>
        <w:t>jul</w:t>
      </w:r>
      <w:proofErr w:type="spellEnd"/>
      <w:r w:rsidR="00E376B7">
        <w:rPr>
          <w:rFonts w:ascii="Century Gothic" w:hAnsi="Century Gothic"/>
        </w:rPr>
        <w:t>/</w:t>
      </w:r>
      <w:r w:rsidRPr="00E122AB">
        <w:rPr>
          <w:rFonts w:ascii="Century Gothic" w:hAnsi="Century Gothic"/>
        </w:rPr>
        <w:t xml:space="preserve">21 e </w:t>
      </w:r>
      <w:proofErr w:type="spellStart"/>
      <w:r w:rsidRPr="00E122AB">
        <w:rPr>
          <w:rFonts w:ascii="Century Gothic" w:hAnsi="Century Gothic"/>
        </w:rPr>
        <w:t>jul</w:t>
      </w:r>
      <w:proofErr w:type="spellEnd"/>
      <w:r w:rsidR="00E376B7">
        <w:rPr>
          <w:rFonts w:ascii="Century Gothic" w:hAnsi="Century Gothic"/>
        </w:rPr>
        <w:t>/</w:t>
      </w:r>
      <w:r w:rsidRPr="00E122AB">
        <w:rPr>
          <w:rFonts w:ascii="Century Gothic" w:hAnsi="Century Gothic"/>
        </w:rPr>
        <w:t>22 onde vemos espaço ainda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para fechamento de taxas, em razão de possíveis novos cortes de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 xml:space="preserve">SELIC e manutenção dos juros </w:t>
      </w:r>
      <w:proofErr w:type="spellStart"/>
      <w:r w:rsidRPr="00E122AB">
        <w:rPr>
          <w:rFonts w:ascii="Century Gothic" w:hAnsi="Century Gothic"/>
        </w:rPr>
        <w:t>estimulativos</w:t>
      </w:r>
      <w:proofErr w:type="spellEnd"/>
      <w:r w:rsidRPr="00E122AB">
        <w:rPr>
          <w:rFonts w:ascii="Century Gothic" w:hAnsi="Century Gothic"/>
        </w:rPr>
        <w:t xml:space="preserve"> por um prazo maior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que o precificado, bem como vemos prêmios também nas NTN B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curtas e intermediárias, especialmente na NTN B 2022 em função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 xml:space="preserve">do mesmo </w:t>
      </w:r>
      <w:proofErr w:type="spellStart"/>
      <w:r w:rsidRPr="00E122AB">
        <w:rPr>
          <w:rFonts w:ascii="Century Gothic" w:hAnsi="Century Gothic"/>
        </w:rPr>
        <w:t>call</w:t>
      </w:r>
      <w:proofErr w:type="spellEnd"/>
      <w:r w:rsidRPr="00E122AB">
        <w:rPr>
          <w:rFonts w:ascii="Century Gothic" w:hAnsi="Century Gothic"/>
        </w:rPr>
        <w:t xml:space="preserve"> de política monetária local</w:t>
      </w:r>
      <w:r w:rsidR="00E376B7">
        <w:rPr>
          <w:rFonts w:ascii="Century Gothic" w:hAnsi="Century Gothic"/>
        </w:rPr>
        <w:t>.</w:t>
      </w:r>
      <w:r w:rsidRPr="00E122AB">
        <w:rPr>
          <w:rFonts w:ascii="Century Gothic" w:hAnsi="Century Gothic"/>
        </w:rPr>
        <w:t xml:space="preserve"> Continuamos mais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confiantes de que há prêmio a ser capturado ainda entre o final da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ponta curta e o miolo da curva nominal, em função dos próximos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movimentos de política monetária e, diante disso, seguimos com a</w:t>
      </w:r>
      <w:r>
        <w:rPr>
          <w:rFonts w:ascii="Century Gothic" w:hAnsi="Century Gothic"/>
        </w:rPr>
        <w:t xml:space="preserve"> </w:t>
      </w:r>
      <w:r w:rsidRPr="00E122AB">
        <w:rPr>
          <w:rFonts w:ascii="Century Gothic" w:hAnsi="Century Gothic"/>
        </w:rPr>
        <w:t>maior parte do nosso book ativo de juros alocado neste trecho</w:t>
      </w:r>
      <w:r w:rsidR="00E376B7">
        <w:rPr>
          <w:rFonts w:ascii="Century Gothic" w:hAnsi="Century Gothic"/>
        </w:rPr>
        <w:t>.</w:t>
      </w:r>
    </w:p>
    <w:p w:rsidR="00F87FCD" w:rsidRPr="004E2C69" w:rsidRDefault="00F87FCD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</w:rPr>
      </w:pPr>
      <w:bookmarkStart w:id="1" w:name="_GoBack"/>
      <w:bookmarkEnd w:id="1"/>
      <w:r w:rsidRPr="006028F8">
        <w:rPr>
          <w:rFonts w:ascii="Century Gothic" w:hAnsi="Century Gothic"/>
        </w:rPr>
        <w:t>D</w:t>
      </w:r>
      <w:r>
        <w:rPr>
          <w:rFonts w:ascii="Century Gothic" w:hAnsi="Century Gothic"/>
        </w:rPr>
        <w:t xml:space="preserve">iante das análises, o comitê </w:t>
      </w:r>
      <w:r w:rsidR="00A273FC">
        <w:rPr>
          <w:rFonts w:ascii="Century Gothic" w:hAnsi="Century Gothic"/>
        </w:rPr>
        <w:t>decidiu que o saldo d</w:t>
      </w:r>
      <w:r w:rsidR="00A273FC" w:rsidRPr="006028F8">
        <w:rPr>
          <w:rFonts w:ascii="Century Gothic" w:hAnsi="Century Gothic" w:cs="Arial"/>
        </w:rPr>
        <w:t xml:space="preserve">as receitas </w:t>
      </w:r>
      <w:r w:rsidR="00A273FC">
        <w:rPr>
          <w:rFonts w:ascii="Century Gothic" w:hAnsi="Century Gothic" w:cs="Arial"/>
        </w:rPr>
        <w:t>das</w:t>
      </w:r>
      <w:r w:rsidR="00A273FC" w:rsidRPr="006028F8">
        <w:rPr>
          <w:rFonts w:ascii="Century Gothic" w:hAnsi="Century Gothic" w:cs="Arial"/>
        </w:rPr>
        <w:t xml:space="preserve"> cont</w:t>
      </w:r>
      <w:r w:rsidR="00266401">
        <w:rPr>
          <w:rFonts w:ascii="Century Gothic" w:hAnsi="Century Gothic" w:cs="Arial"/>
        </w:rPr>
        <w:t xml:space="preserve">ribuições </w:t>
      </w:r>
      <w:r w:rsidR="004E2C69">
        <w:rPr>
          <w:rFonts w:ascii="Century Gothic" w:hAnsi="Century Gothic" w:cs="Arial"/>
        </w:rPr>
        <w:t>do mês</w:t>
      </w:r>
      <w:r w:rsidR="004E2C69">
        <w:rPr>
          <w:rFonts w:ascii="Century Gothic" w:hAnsi="Century Gothic" w:cs="Arial"/>
        </w:rPr>
        <w:t>,</w:t>
      </w:r>
      <w:r w:rsidR="004E2C69">
        <w:rPr>
          <w:rFonts w:ascii="Century Gothic" w:hAnsi="Century Gothic" w:cs="Arial"/>
        </w:rPr>
        <w:t xml:space="preserve"> </w:t>
      </w:r>
      <w:r w:rsidR="004E2C69">
        <w:rPr>
          <w:rFonts w:ascii="Century Gothic" w:hAnsi="Century Gothic" w:cs="Arial"/>
        </w:rPr>
        <w:t>deduzido o valor da taxa de administração, será aplicado</w:t>
      </w:r>
      <w:r w:rsidR="00A273FC">
        <w:rPr>
          <w:rFonts w:ascii="Century Gothic" w:hAnsi="Century Gothic" w:cs="Arial"/>
        </w:rPr>
        <w:t xml:space="preserve"> no Fundo </w:t>
      </w:r>
      <w:r w:rsidR="00A273FC" w:rsidRPr="00266401">
        <w:rPr>
          <w:rFonts w:ascii="Century Gothic" w:hAnsi="Century Gothic" w:cs="Arial"/>
          <w:b/>
        </w:rPr>
        <w:t>SANTANDER RF ATIVO FIC FI</w:t>
      </w:r>
      <w:r w:rsidR="00A273FC">
        <w:rPr>
          <w:rFonts w:ascii="Century Gothic" w:hAnsi="Century Gothic" w:cs="Arial"/>
        </w:rPr>
        <w:t xml:space="preserve"> e</w:t>
      </w:r>
      <w:r w:rsidR="00266401">
        <w:rPr>
          <w:rFonts w:ascii="Century Gothic" w:hAnsi="Century Gothic" w:cs="Arial"/>
        </w:rPr>
        <w:t xml:space="preserve"> </w:t>
      </w:r>
      <w:r w:rsidR="004E2C69">
        <w:rPr>
          <w:rFonts w:ascii="Century Gothic" w:hAnsi="Century Gothic" w:cs="Arial"/>
        </w:rPr>
        <w:t xml:space="preserve">também </w:t>
      </w:r>
      <w:r w:rsidR="00A273FC">
        <w:rPr>
          <w:rFonts w:ascii="Century Gothic" w:hAnsi="Century Gothic" w:cs="Arial"/>
        </w:rPr>
        <w:t xml:space="preserve">será </w:t>
      </w:r>
      <w:r w:rsidR="00266401">
        <w:rPr>
          <w:rFonts w:ascii="Century Gothic" w:hAnsi="Century Gothic"/>
        </w:rPr>
        <w:t xml:space="preserve">resgatado o </w:t>
      </w:r>
      <w:r w:rsidR="00A273FC">
        <w:rPr>
          <w:rFonts w:ascii="Century Gothic" w:hAnsi="Century Gothic"/>
        </w:rPr>
        <w:t xml:space="preserve">total </w:t>
      </w:r>
      <w:r w:rsidR="00266401">
        <w:rPr>
          <w:rFonts w:ascii="Century Gothic" w:hAnsi="Century Gothic"/>
        </w:rPr>
        <w:t xml:space="preserve">dos recursos </w:t>
      </w:r>
      <w:r w:rsidR="004E2C69">
        <w:rPr>
          <w:rFonts w:ascii="Century Gothic" w:hAnsi="Century Gothic"/>
        </w:rPr>
        <w:t>do</w:t>
      </w:r>
      <w:r w:rsidR="00A273FC">
        <w:rPr>
          <w:rFonts w:ascii="Century Gothic" w:hAnsi="Century Gothic"/>
        </w:rPr>
        <w:t xml:space="preserve"> </w:t>
      </w:r>
      <w:r w:rsidR="00A273FC" w:rsidRPr="00266401">
        <w:rPr>
          <w:rFonts w:ascii="Century Gothic" w:hAnsi="Century Gothic"/>
          <w:b/>
        </w:rPr>
        <w:t>FUNDO SOBERANO do Santander</w:t>
      </w:r>
      <w:r w:rsidR="00E376B7">
        <w:rPr>
          <w:rFonts w:ascii="Century Gothic" w:hAnsi="Century Gothic"/>
          <w:b/>
        </w:rPr>
        <w:t>(DI)</w:t>
      </w:r>
      <w:r w:rsidR="004E2C69">
        <w:rPr>
          <w:rFonts w:ascii="Century Gothic" w:hAnsi="Century Gothic"/>
          <w:b/>
        </w:rPr>
        <w:t xml:space="preserve">, </w:t>
      </w:r>
      <w:r w:rsidR="00266401">
        <w:rPr>
          <w:rFonts w:ascii="Century Gothic" w:hAnsi="Century Gothic"/>
        </w:rPr>
        <w:t xml:space="preserve">e </w:t>
      </w:r>
      <w:r w:rsidR="004E2C69">
        <w:rPr>
          <w:rFonts w:ascii="Century Gothic" w:hAnsi="Century Gothic"/>
        </w:rPr>
        <w:t xml:space="preserve">deduzido o valor da FOPAG /benefícios, será </w:t>
      </w:r>
      <w:r w:rsidR="00266401">
        <w:rPr>
          <w:rFonts w:ascii="Century Gothic" w:hAnsi="Century Gothic"/>
        </w:rPr>
        <w:t xml:space="preserve">aplicado </w:t>
      </w:r>
      <w:r w:rsidR="00266401" w:rsidRPr="004E2C69">
        <w:rPr>
          <w:rFonts w:ascii="Century Gothic" w:hAnsi="Century Gothic"/>
          <w:b/>
        </w:rPr>
        <w:t>50% no Fundo</w:t>
      </w:r>
      <w:r w:rsidR="00266401">
        <w:rPr>
          <w:rFonts w:ascii="Century Gothic" w:hAnsi="Century Gothic"/>
        </w:rPr>
        <w:t xml:space="preserve"> </w:t>
      </w:r>
      <w:r w:rsidR="000D32D7">
        <w:rPr>
          <w:rFonts w:ascii="Century Gothic" w:hAnsi="Century Gothic" w:cs="Arial"/>
        </w:rPr>
        <w:t xml:space="preserve"> </w:t>
      </w:r>
      <w:r w:rsidR="005D5D04" w:rsidRPr="00266401">
        <w:rPr>
          <w:rFonts w:ascii="Century Gothic" w:hAnsi="Century Gothic" w:cs="Arial"/>
          <w:b/>
        </w:rPr>
        <w:t xml:space="preserve">ALOCAÇÃO ATIVA </w:t>
      </w:r>
      <w:r w:rsidR="00266401" w:rsidRPr="00266401">
        <w:rPr>
          <w:rFonts w:ascii="Century Gothic" w:hAnsi="Century Gothic" w:cs="Arial"/>
          <w:b/>
        </w:rPr>
        <w:t>do</w:t>
      </w:r>
      <w:r w:rsidR="005D5D04" w:rsidRPr="00266401">
        <w:rPr>
          <w:rFonts w:ascii="Century Gothic" w:hAnsi="Century Gothic" w:cs="Arial"/>
          <w:b/>
        </w:rPr>
        <w:t xml:space="preserve"> BB </w:t>
      </w:r>
      <w:r w:rsidR="000D32D7" w:rsidRPr="00266401">
        <w:rPr>
          <w:rFonts w:ascii="Century Gothic" w:hAnsi="Century Gothic" w:cs="Arial"/>
          <w:b/>
        </w:rPr>
        <w:t xml:space="preserve">e </w:t>
      </w:r>
      <w:r w:rsidR="004E2C69">
        <w:rPr>
          <w:rFonts w:ascii="Century Gothic" w:hAnsi="Century Gothic" w:cs="Arial"/>
          <w:b/>
        </w:rPr>
        <w:t xml:space="preserve">50% </w:t>
      </w:r>
      <w:r w:rsidR="00E606D8" w:rsidRPr="00266401">
        <w:rPr>
          <w:rFonts w:ascii="Century Gothic" w:hAnsi="Century Gothic" w:cs="Arial"/>
          <w:b/>
        </w:rPr>
        <w:t>n</w:t>
      </w:r>
      <w:r w:rsidR="000D32D7" w:rsidRPr="00266401">
        <w:rPr>
          <w:rFonts w:ascii="Century Gothic" w:hAnsi="Century Gothic" w:cs="Arial"/>
          <w:b/>
        </w:rPr>
        <w:t xml:space="preserve">o FUNDO GESTÃO ESTRATÉGICA </w:t>
      </w:r>
      <w:r w:rsidR="005D5D04" w:rsidRPr="00266401">
        <w:rPr>
          <w:rFonts w:ascii="Century Gothic" w:hAnsi="Century Gothic" w:cs="Arial"/>
          <w:b/>
        </w:rPr>
        <w:t>da</w:t>
      </w:r>
      <w:r w:rsidR="000D32D7" w:rsidRPr="00266401">
        <w:rPr>
          <w:rFonts w:ascii="Century Gothic" w:hAnsi="Century Gothic" w:cs="Arial"/>
          <w:b/>
        </w:rPr>
        <w:t xml:space="preserve"> CAIXA</w:t>
      </w:r>
      <w:r w:rsidR="005D5D04">
        <w:rPr>
          <w:rFonts w:ascii="Century Gothic" w:hAnsi="Century Gothic" w:cs="Arial"/>
        </w:rPr>
        <w:t>,</w:t>
      </w:r>
      <w:r w:rsidR="000D32D7">
        <w:rPr>
          <w:rFonts w:ascii="Century Gothic" w:hAnsi="Century Gothic" w:cs="Arial"/>
        </w:rPr>
        <w:t xml:space="preserve"> </w:t>
      </w:r>
      <w:r w:rsidRPr="006028F8">
        <w:rPr>
          <w:rFonts w:ascii="Century Gothic" w:hAnsi="Century Gothic" w:cs="Arial"/>
        </w:rPr>
        <w:t xml:space="preserve">sendo que </w:t>
      </w:r>
      <w:r w:rsidRPr="006028F8">
        <w:rPr>
          <w:rFonts w:ascii="Century Gothic" w:hAnsi="Century Gothic"/>
          <w:shd w:val="clear" w:color="auto" w:fill="FFFFFF" w:themeFill="background1"/>
        </w:rPr>
        <w:t xml:space="preserve">os valores reservados </w:t>
      </w:r>
      <w:r w:rsidRPr="006028F8">
        <w:rPr>
          <w:rFonts w:ascii="Century Gothic" w:eastAsiaTheme="minorHAnsi" w:hAnsi="Century Gothic" w:cs="BookmanOldStyle"/>
        </w:rPr>
        <w:t>para o fluxo de pagamentos serão aplicados em fundo DI</w:t>
      </w:r>
      <w:r>
        <w:rPr>
          <w:rFonts w:ascii="Century Gothic" w:eastAsiaTheme="minorHAnsi" w:hAnsi="Century Gothic" w:cs="BookmanOldStyle"/>
        </w:rPr>
        <w:t xml:space="preserve"> </w:t>
      </w:r>
      <w:r w:rsidR="000D32D7">
        <w:rPr>
          <w:rFonts w:ascii="Century Gothic" w:eastAsiaTheme="minorHAnsi" w:hAnsi="Century Gothic" w:cs="BookmanOldStyle"/>
        </w:rPr>
        <w:t xml:space="preserve">FLUXO </w:t>
      </w:r>
      <w:r>
        <w:rPr>
          <w:rFonts w:ascii="Century Gothic" w:eastAsiaTheme="minorHAnsi" w:hAnsi="Century Gothic" w:cs="BookmanOldStyle"/>
        </w:rPr>
        <w:t>do BB</w:t>
      </w:r>
      <w:r w:rsidR="000D32D7">
        <w:rPr>
          <w:rFonts w:ascii="Century Gothic" w:eastAsiaTheme="minorHAnsi" w:hAnsi="Century Gothic" w:cs="BookmanOldStyle"/>
        </w:rPr>
        <w:t>.</w:t>
      </w:r>
    </w:p>
    <w:p w:rsidR="00266401" w:rsidRDefault="00266401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</w:p>
    <w:p w:rsidR="00516448" w:rsidRDefault="00E44965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  <w:r w:rsidRPr="00516448">
        <w:rPr>
          <w:rFonts w:ascii="Century Gothic" w:hAnsi="Century Gothic" w:cs="Arial"/>
          <w:color w:val="000000" w:themeColor="text1"/>
        </w:rPr>
        <w:t>Nada mais havendo a tratar, a reunião foi encerrada às 1</w:t>
      </w:r>
      <w:r w:rsidR="00266401">
        <w:rPr>
          <w:rFonts w:ascii="Century Gothic" w:hAnsi="Century Gothic" w:cs="Arial"/>
          <w:color w:val="000000" w:themeColor="text1"/>
        </w:rPr>
        <w:t>5:45</w:t>
      </w:r>
      <w:r w:rsidRPr="00516448">
        <w:rPr>
          <w:rFonts w:ascii="Century Gothic" w:hAnsi="Century Gothic" w:cs="Arial"/>
          <w:color w:val="000000" w:themeColor="text1"/>
        </w:rPr>
        <w:t xml:space="preserve">hs, onde a ata foi lida, aprovada e </w:t>
      </w:r>
      <w:r w:rsidR="005D5D04">
        <w:rPr>
          <w:rFonts w:ascii="Century Gothic" w:hAnsi="Century Gothic" w:cs="Arial"/>
          <w:color w:val="000000" w:themeColor="text1"/>
        </w:rPr>
        <w:t xml:space="preserve">será </w:t>
      </w:r>
      <w:r w:rsidRPr="00516448">
        <w:rPr>
          <w:rFonts w:ascii="Century Gothic" w:hAnsi="Century Gothic" w:cs="Arial"/>
          <w:color w:val="000000" w:themeColor="text1"/>
        </w:rPr>
        <w:t>assinada pelos integrantes do comitê presentes à reunião</w:t>
      </w:r>
      <w:r w:rsidR="00516448" w:rsidRPr="00516448">
        <w:rPr>
          <w:rFonts w:ascii="Century Gothic" w:hAnsi="Century Gothic" w:cs="Arial"/>
          <w:color w:val="000000" w:themeColor="text1"/>
        </w:rPr>
        <w:t>.</w:t>
      </w:r>
    </w:p>
    <w:p w:rsidR="005D5D04" w:rsidRDefault="005D5D04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</w:p>
    <w:p w:rsidR="005D5D04" w:rsidRDefault="005D5D04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</w:p>
    <w:p w:rsidR="00266401" w:rsidRDefault="00266401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</w:p>
    <w:p w:rsidR="00E8001D" w:rsidRDefault="00E8001D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</w:p>
    <w:p w:rsidR="00E8001D" w:rsidRDefault="00E8001D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</w:p>
    <w:p w:rsidR="00E8001D" w:rsidRDefault="00E8001D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</w:p>
    <w:p w:rsidR="005D5D04" w:rsidRPr="000D5099" w:rsidRDefault="005D5D04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FF0000"/>
        </w:rPr>
      </w:pPr>
    </w:p>
    <w:bookmarkEnd w:id="0"/>
    <w:p w:rsidR="00382AEC" w:rsidRPr="003E2CF3" w:rsidRDefault="00382AEC" w:rsidP="00382AEC">
      <w:pPr>
        <w:ind w:left="-284" w:right="-427"/>
        <w:rPr>
          <w:rFonts w:ascii="Century Gothic" w:hAnsi="Century Gothic" w:cs="Arial"/>
        </w:rPr>
      </w:pPr>
      <w:r w:rsidRPr="003E2CF3">
        <w:rPr>
          <w:rFonts w:ascii="Century Gothic" w:hAnsi="Century Gothic" w:cs="Arial"/>
          <w:sz w:val="24"/>
          <w:szCs w:val="24"/>
        </w:rPr>
        <w:t xml:space="preserve">    Adauto C. Mariola    João B. André     Agnaldo S. </w:t>
      </w:r>
      <w:proofErr w:type="spellStart"/>
      <w:r w:rsidRPr="003E2CF3">
        <w:rPr>
          <w:rFonts w:ascii="Century Gothic" w:hAnsi="Century Gothic" w:cs="Arial"/>
          <w:sz w:val="24"/>
          <w:szCs w:val="24"/>
        </w:rPr>
        <w:t>Masson</w:t>
      </w:r>
      <w:proofErr w:type="spellEnd"/>
      <w:r w:rsidRPr="003E2CF3">
        <w:rPr>
          <w:rFonts w:ascii="Century Gothic" w:hAnsi="Century Gothic" w:cs="Arial"/>
          <w:sz w:val="24"/>
          <w:szCs w:val="24"/>
        </w:rPr>
        <w:t xml:space="preserve">       Alexandre V. Lima</w:t>
      </w:r>
    </w:p>
    <w:p w:rsidR="00D30075" w:rsidRDefault="00D30075" w:rsidP="00382AEC">
      <w:pPr>
        <w:ind w:left="-284" w:right="-427"/>
        <w:rPr>
          <w:rFonts w:ascii="Century Gothic" w:hAnsi="Century Gothic" w:cs="Arial"/>
        </w:rPr>
      </w:pPr>
    </w:p>
    <w:p w:rsidR="003E2CF3" w:rsidRDefault="003E2CF3" w:rsidP="00382AEC">
      <w:pPr>
        <w:ind w:left="-284" w:right="-427"/>
        <w:rPr>
          <w:rFonts w:ascii="Century Gothic" w:hAnsi="Century Gothic" w:cs="Arial"/>
        </w:rPr>
      </w:pPr>
    </w:p>
    <w:p w:rsidR="003E2CF3" w:rsidRPr="003E2CF3" w:rsidRDefault="003E2CF3" w:rsidP="00382AEC">
      <w:pPr>
        <w:ind w:left="-284" w:right="-427"/>
        <w:rPr>
          <w:rFonts w:ascii="Century Gothic" w:hAnsi="Century Gothic" w:cs="Arial"/>
        </w:rPr>
      </w:pPr>
    </w:p>
    <w:sectPr w:rsidR="003E2CF3" w:rsidRPr="003E2CF3" w:rsidSect="00377034">
      <w:headerReference w:type="default" r:id="rId10"/>
      <w:footerReference w:type="default" r:id="rId11"/>
      <w:pgSz w:w="11906" w:h="16838"/>
      <w:pgMar w:top="1417" w:right="1416" w:bottom="1417" w:left="1560" w:header="56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3F38" w:rsidRDefault="00E43F38" w:rsidP="009375C4">
      <w:pPr>
        <w:spacing w:line="240" w:lineRule="auto"/>
      </w:pPr>
      <w:r>
        <w:separator/>
      </w:r>
    </w:p>
  </w:endnote>
  <w:endnote w:type="continuationSeparator" w:id="0">
    <w:p w:rsidR="00E43F38" w:rsidRDefault="00E43F38" w:rsidP="009375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OldStyl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79D6" w:rsidRPr="00AE0606" w:rsidRDefault="000F79D6" w:rsidP="00AE0606">
    <w:pPr>
      <w:pStyle w:val="Rodap"/>
      <w:jc w:val="center"/>
      <w:rPr>
        <w:rFonts w:ascii="Verdana" w:hAnsi="Verdana"/>
        <w:b/>
        <w:sz w:val="24"/>
        <w:szCs w:val="24"/>
      </w:rPr>
    </w:pPr>
    <w:r w:rsidRPr="00AE0606">
      <w:rPr>
        <w:rFonts w:ascii="Verdana" w:hAnsi="Verdana"/>
        <w:b/>
        <w:sz w:val="24"/>
        <w:szCs w:val="24"/>
      </w:rPr>
      <w:t>Instituto de Previdência do Município de Votuporanga</w:t>
    </w:r>
  </w:p>
  <w:p w:rsidR="000F79D6" w:rsidRPr="00AE0606" w:rsidRDefault="000F79D6" w:rsidP="003A10B8">
    <w:pPr>
      <w:pStyle w:val="Rodap"/>
      <w:jc w:val="center"/>
      <w:rPr>
        <w:rFonts w:ascii="Verdana" w:hAnsi="Verdana" w:cstheme="minorHAnsi"/>
        <w:sz w:val="16"/>
        <w:szCs w:val="16"/>
      </w:rPr>
    </w:pPr>
    <w:r w:rsidRPr="00AE0606">
      <w:rPr>
        <w:rFonts w:ascii="Verdana" w:hAnsi="Verdana" w:cstheme="minorHAnsi"/>
        <w:sz w:val="16"/>
        <w:szCs w:val="16"/>
      </w:rPr>
      <w:t>Rua São Paulo, 3834 – Centro - Votuporanga/SP – CEP 15.500-010 - Fone: (17) 3421-6058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3F38" w:rsidRDefault="00E43F38" w:rsidP="009375C4">
      <w:pPr>
        <w:spacing w:line="240" w:lineRule="auto"/>
      </w:pPr>
      <w:r>
        <w:separator/>
      </w:r>
    </w:p>
  </w:footnote>
  <w:footnote w:type="continuationSeparator" w:id="0">
    <w:p w:rsidR="00E43F38" w:rsidRDefault="00E43F38" w:rsidP="009375C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79D6" w:rsidRDefault="000F79D6" w:rsidP="004853BC">
    <w:pPr>
      <w:pStyle w:val="Cabealho"/>
      <w:tabs>
        <w:tab w:val="clear" w:pos="4252"/>
        <w:tab w:val="clear" w:pos="8504"/>
        <w:tab w:val="left" w:pos="1725"/>
      </w:tabs>
      <w:ind w:left="-284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4358640</wp:posOffset>
          </wp:positionH>
          <wp:positionV relativeFrom="paragraph">
            <wp:posOffset>-236220</wp:posOffset>
          </wp:positionV>
          <wp:extent cx="1895475" cy="647700"/>
          <wp:effectExtent l="0" t="0" r="9525" b="0"/>
          <wp:wrapSquare wrapText="bothSides"/>
          <wp:docPr id="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asão_horizontal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371" t="15626" r="9071" b="18749"/>
                  <a:stretch/>
                </pic:blipFill>
                <pic:spPr bwMode="auto">
                  <a:xfrm>
                    <a:off x="0" y="0"/>
                    <a:ext cx="1895475" cy="647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-1070610</wp:posOffset>
          </wp:positionH>
          <wp:positionV relativeFrom="paragraph">
            <wp:posOffset>-436245</wp:posOffset>
          </wp:positionV>
          <wp:extent cx="2333625" cy="771525"/>
          <wp:effectExtent l="19050" t="0" r="9525" b="0"/>
          <wp:wrapTopAndBottom/>
          <wp:docPr id="8" name="Imagem 8" descr="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m título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33362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7002D"/>
    <w:multiLevelType w:val="hybridMultilevel"/>
    <w:tmpl w:val="B864554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F23A7"/>
    <w:multiLevelType w:val="hybridMultilevel"/>
    <w:tmpl w:val="5746B2F4"/>
    <w:lvl w:ilvl="0" w:tplc="2AA2FD8A">
      <w:start w:val="1"/>
      <w:numFmt w:val="upperRoman"/>
      <w:lvlText w:val="%1-"/>
      <w:lvlJc w:val="left"/>
      <w:pPr>
        <w:ind w:left="34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765" w:hanging="360"/>
      </w:pPr>
    </w:lvl>
    <w:lvl w:ilvl="2" w:tplc="0416001B" w:tentative="1">
      <w:start w:val="1"/>
      <w:numFmt w:val="lowerRoman"/>
      <w:lvlText w:val="%3."/>
      <w:lvlJc w:val="right"/>
      <w:pPr>
        <w:ind w:left="4485" w:hanging="180"/>
      </w:pPr>
    </w:lvl>
    <w:lvl w:ilvl="3" w:tplc="0416000F" w:tentative="1">
      <w:start w:val="1"/>
      <w:numFmt w:val="decimal"/>
      <w:lvlText w:val="%4."/>
      <w:lvlJc w:val="left"/>
      <w:pPr>
        <w:ind w:left="5205" w:hanging="360"/>
      </w:pPr>
    </w:lvl>
    <w:lvl w:ilvl="4" w:tplc="04160019" w:tentative="1">
      <w:start w:val="1"/>
      <w:numFmt w:val="lowerLetter"/>
      <w:lvlText w:val="%5."/>
      <w:lvlJc w:val="left"/>
      <w:pPr>
        <w:ind w:left="5925" w:hanging="360"/>
      </w:pPr>
    </w:lvl>
    <w:lvl w:ilvl="5" w:tplc="0416001B" w:tentative="1">
      <w:start w:val="1"/>
      <w:numFmt w:val="lowerRoman"/>
      <w:lvlText w:val="%6."/>
      <w:lvlJc w:val="right"/>
      <w:pPr>
        <w:ind w:left="6645" w:hanging="180"/>
      </w:pPr>
    </w:lvl>
    <w:lvl w:ilvl="6" w:tplc="0416000F" w:tentative="1">
      <w:start w:val="1"/>
      <w:numFmt w:val="decimal"/>
      <w:lvlText w:val="%7."/>
      <w:lvlJc w:val="left"/>
      <w:pPr>
        <w:ind w:left="7365" w:hanging="360"/>
      </w:pPr>
    </w:lvl>
    <w:lvl w:ilvl="7" w:tplc="04160019" w:tentative="1">
      <w:start w:val="1"/>
      <w:numFmt w:val="lowerLetter"/>
      <w:lvlText w:val="%8."/>
      <w:lvlJc w:val="left"/>
      <w:pPr>
        <w:ind w:left="8085" w:hanging="360"/>
      </w:pPr>
    </w:lvl>
    <w:lvl w:ilvl="8" w:tplc="0416001B" w:tentative="1">
      <w:start w:val="1"/>
      <w:numFmt w:val="lowerRoman"/>
      <w:lvlText w:val="%9."/>
      <w:lvlJc w:val="right"/>
      <w:pPr>
        <w:ind w:left="8805" w:hanging="180"/>
      </w:pPr>
    </w:lvl>
  </w:abstractNum>
  <w:abstractNum w:abstractNumId="2" w15:restartNumberingAfterBreak="0">
    <w:nsid w:val="23621587"/>
    <w:multiLevelType w:val="hybridMultilevel"/>
    <w:tmpl w:val="7C00B312"/>
    <w:lvl w:ilvl="0" w:tplc="8E5CCB80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3" w15:restartNumberingAfterBreak="0">
    <w:nsid w:val="2A5B154D"/>
    <w:multiLevelType w:val="hybridMultilevel"/>
    <w:tmpl w:val="C97EA250"/>
    <w:lvl w:ilvl="0" w:tplc="90324F40">
      <w:numFmt w:val="bullet"/>
      <w:lvlText w:val=""/>
      <w:lvlJc w:val="left"/>
      <w:pPr>
        <w:ind w:left="405" w:hanging="360"/>
      </w:pPr>
      <w:rPr>
        <w:rFonts w:ascii="Symbol" w:eastAsiaTheme="minorHAnsi" w:hAnsi="Symbol" w:cs="Aria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 w15:restartNumberingAfterBreak="0">
    <w:nsid w:val="3E7A12BA"/>
    <w:multiLevelType w:val="hybridMultilevel"/>
    <w:tmpl w:val="5900B7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102CD3"/>
    <w:multiLevelType w:val="multilevel"/>
    <w:tmpl w:val="EEF6EB10"/>
    <w:lvl w:ilvl="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>
      <w:start w:val="1"/>
      <w:numFmt w:val="decimal"/>
      <w:lvlText w:val="%2."/>
      <w:lvlJc w:val="left"/>
      <w:pPr>
        <w:ind w:left="360" w:hanging="360"/>
      </w:pPr>
      <w:rPr>
        <w:b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6" w15:restartNumberingAfterBreak="0">
    <w:nsid w:val="45E826C3"/>
    <w:multiLevelType w:val="hybridMultilevel"/>
    <w:tmpl w:val="9E383E8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4A862FE9"/>
    <w:multiLevelType w:val="hybridMultilevel"/>
    <w:tmpl w:val="1F24F9EC"/>
    <w:lvl w:ilvl="0" w:tplc="0658CCB6">
      <w:start w:val="1"/>
      <w:numFmt w:val="decimal"/>
      <w:lvlText w:val="%1)"/>
      <w:lvlJc w:val="left"/>
      <w:pPr>
        <w:ind w:left="360" w:hanging="360"/>
      </w:pPr>
      <w:rPr>
        <w:rFonts w:eastAsia="Calibri" w:cs="Times New Roman" w:hint="default"/>
        <w:b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A17724"/>
    <w:multiLevelType w:val="hybridMultilevel"/>
    <w:tmpl w:val="9D6223EA"/>
    <w:lvl w:ilvl="0" w:tplc="C61A6184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9" w15:restartNumberingAfterBreak="0">
    <w:nsid w:val="53400BEB"/>
    <w:multiLevelType w:val="hybridMultilevel"/>
    <w:tmpl w:val="9ACACD98"/>
    <w:lvl w:ilvl="0" w:tplc="AE568F0E">
      <w:start w:val="1"/>
      <w:numFmt w:val="upperRoman"/>
      <w:lvlText w:val="%1-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0" w15:restartNumberingAfterBreak="0">
    <w:nsid w:val="6B641FC0"/>
    <w:multiLevelType w:val="hybridMultilevel"/>
    <w:tmpl w:val="A69E85AA"/>
    <w:lvl w:ilvl="0" w:tplc="076ABD8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330D7A"/>
    <w:multiLevelType w:val="hybridMultilevel"/>
    <w:tmpl w:val="F176ED1E"/>
    <w:lvl w:ilvl="0" w:tplc="0416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9"/>
  </w:num>
  <w:num w:numId="5">
    <w:abstractNumId w:val="4"/>
  </w:num>
  <w:num w:numId="6">
    <w:abstractNumId w:val="6"/>
  </w:num>
  <w:num w:numId="7">
    <w:abstractNumId w:val="3"/>
  </w:num>
  <w:num w:numId="8">
    <w:abstractNumId w:val="10"/>
  </w:num>
  <w:num w:numId="9">
    <w:abstractNumId w:val="7"/>
  </w:num>
  <w:num w:numId="10">
    <w:abstractNumId w:val="0"/>
  </w:num>
  <w:num w:numId="11">
    <w:abstractNumId w:val="1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15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C0CFD"/>
    <w:rsid w:val="0000235D"/>
    <w:rsid w:val="000038EF"/>
    <w:rsid w:val="00004777"/>
    <w:rsid w:val="00005398"/>
    <w:rsid w:val="000133A8"/>
    <w:rsid w:val="00020D6F"/>
    <w:rsid w:val="000327B4"/>
    <w:rsid w:val="000343E1"/>
    <w:rsid w:val="000375E4"/>
    <w:rsid w:val="000375FA"/>
    <w:rsid w:val="00037973"/>
    <w:rsid w:val="00040CB6"/>
    <w:rsid w:val="00041875"/>
    <w:rsid w:val="00044A50"/>
    <w:rsid w:val="00046906"/>
    <w:rsid w:val="000474AE"/>
    <w:rsid w:val="000517D1"/>
    <w:rsid w:val="00053B7F"/>
    <w:rsid w:val="000549F9"/>
    <w:rsid w:val="00061EBB"/>
    <w:rsid w:val="00062649"/>
    <w:rsid w:val="00062E1F"/>
    <w:rsid w:val="00065C90"/>
    <w:rsid w:val="000711CD"/>
    <w:rsid w:val="0007386E"/>
    <w:rsid w:val="00074061"/>
    <w:rsid w:val="00074279"/>
    <w:rsid w:val="00091414"/>
    <w:rsid w:val="000973EA"/>
    <w:rsid w:val="000A040A"/>
    <w:rsid w:val="000A0510"/>
    <w:rsid w:val="000A5A82"/>
    <w:rsid w:val="000A708E"/>
    <w:rsid w:val="000B566E"/>
    <w:rsid w:val="000B65A9"/>
    <w:rsid w:val="000C238A"/>
    <w:rsid w:val="000D0501"/>
    <w:rsid w:val="000D1375"/>
    <w:rsid w:val="000D2110"/>
    <w:rsid w:val="000D2DAD"/>
    <w:rsid w:val="000D32D7"/>
    <w:rsid w:val="000D5099"/>
    <w:rsid w:val="000D57CE"/>
    <w:rsid w:val="000D60B5"/>
    <w:rsid w:val="000D760D"/>
    <w:rsid w:val="000E60B4"/>
    <w:rsid w:val="000E7E1D"/>
    <w:rsid w:val="000F6256"/>
    <w:rsid w:val="000F79D6"/>
    <w:rsid w:val="00104CDC"/>
    <w:rsid w:val="00106E55"/>
    <w:rsid w:val="00106EB7"/>
    <w:rsid w:val="0011110F"/>
    <w:rsid w:val="00117B9D"/>
    <w:rsid w:val="001347E8"/>
    <w:rsid w:val="00134A76"/>
    <w:rsid w:val="00137B82"/>
    <w:rsid w:val="00146014"/>
    <w:rsid w:val="0014636C"/>
    <w:rsid w:val="001516C0"/>
    <w:rsid w:val="00155962"/>
    <w:rsid w:val="0015712E"/>
    <w:rsid w:val="00161971"/>
    <w:rsid w:val="001630FC"/>
    <w:rsid w:val="00163A10"/>
    <w:rsid w:val="00164824"/>
    <w:rsid w:val="0016546B"/>
    <w:rsid w:val="0017139C"/>
    <w:rsid w:val="00171469"/>
    <w:rsid w:val="00171D76"/>
    <w:rsid w:val="00176F1B"/>
    <w:rsid w:val="00187143"/>
    <w:rsid w:val="001903B1"/>
    <w:rsid w:val="001A1AD3"/>
    <w:rsid w:val="001A4403"/>
    <w:rsid w:val="001A54D9"/>
    <w:rsid w:val="001B5A68"/>
    <w:rsid w:val="001C0E0D"/>
    <w:rsid w:val="001C3AA7"/>
    <w:rsid w:val="001C5587"/>
    <w:rsid w:val="001C5D92"/>
    <w:rsid w:val="001D1DF1"/>
    <w:rsid w:val="001D67ED"/>
    <w:rsid w:val="001E1F2D"/>
    <w:rsid w:val="001E4C89"/>
    <w:rsid w:val="001E5CC8"/>
    <w:rsid w:val="001E5EFD"/>
    <w:rsid w:val="001E793E"/>
    <w:rsid w:val="001F40F5"/>
    <w:rsid w:val="00200C6C"/>
    <w:rsid w:val="002052BB"/>
    <w:rsid w:val="0020562E"/>
    <w:rsid w:val="002068C5"/>
    <w:rsid w:val="00206F03"/>
    <w:rsid w:val="00210B37"/>
    <w:rsid w:val="00211728"/>
    <w:rsid w:val="00211D64"/>
    <w:rsid w:val="00213910"/>
    <w:rsid w:val="00214B74"/>
    <w:rsid w:val="0022122D"/>
    <w:rsid w:val="0022533A"/>
    <w:rsid w:val="0023195F"/>
    <w:rsid w:val="00240051"/>
    <w:rsid w:val="0024267A"/>
    <w:rsid w:val="00247BE8"/>
    <w:rsid w:val="00247DC0"/>
    <w:rsid w:val="0025093D"/>
    <w:rsid w:val="00251D27"/>
    <w:rsid w:val="0025325E"/>
    <w:rsid w:val="00254AFD"/>
    <w:rsid w:val="00254B16"/>
    <w:rsid w:val="002624D4"/>
    <w:rsid w:val="00262A17"/>
    <w:rsid w:val="00266401"/>
    <w:rsid w:val="00270F4B"/>
    <w:rsid w:val="002724D8"/>
    <w:rsid w:val="00273CF9"/>
    <w:rsid w:val="002740E8"/>
    <w:rsid w:val="00274802"/>
    <w:rsid w:val="00275AF9"/>
    <w:rsid w:val="00276608"/>
    <w:rsid w:val="002768FD"/>
    <w:rsid w:val="0028284B"/>
    <w:rsid w:val="002837AA"/>
    <w:rsid w:val="00285AA9"/>
    <w:rsid w:val="00285E5F"/>
    <w:rsid w:val="00286013"/>
    <w:rsid w:val="002870B3"/>
    <w:rsid w:val="002912FE"/>
    <w:rsid w:val="00291C9B"/>
    <w:rsid w:val="00296E36"/>
    <w:rsid w:val="002A191F"/>
    <w:rsid w:val="002B2417"/>
    <w:rsid w:val="002B3343"/>
    <w:rsid w:val="002C0399"/>
    <w:rsid w:val="002C7045"/>
    <w:rsid w:val="002C7BFD"/>
    <w:rsid w:val="002D149D"/>
    <w:rsid w:val="002D3AB9"/>
    <w:rsid w:val="002E0BB5"/>
    <w:rsid w:val="002E1943"/>
    <w:rsid w:val="002E544E"/>
    <w:rsid w:val="002F1CDF"/>
    <w:rsid w:val="0030202C"/>
    <w:rsid w:val="00302500"/>
    <w:rsid w:val="003147B0"/>
    <w:rsid w:val="00315831"/>
    <w:rsid w:val="00320AA0"/>
    <w:rsid w:val="00323FB4"/>
    <w:rsid w:val="003262CB"/>
    <w:rsid w:val="00327AFE"/>
    <w:rsid w:val="0034527E"/>
    <w:rsid w:val="00352285"/>
    <w:rsid w:val="00352DE2"/>
    <w:rsid w:val="0035528C"/>
    <w:rsid w:val="0036155A"/>
    <w:rsid w:val="00370B86"/>
    <w:rsid w:val="00371177"/>
    <w:rsid w:val="00371632"/>
    <w:rsid w:val="00371A9C"/>
    <w:rsid w:val="00372955"/>
    <w:rsid w:val="0037552A"/>
    <w:rsid w:val="003759FD"/>
    <w:rsid w:val="00377034"/>
    <w:rsid w:val="003816BE"/>
    <w:rsid w:val="003818F3"/>
    <w:rsid w:val="00382AEC"/>
    <w:rsid w:val="003A10B8"/>
    <w:rsid w:val="003A3C75"/>
    <w:rsid w:val="003A7154"/>
    <w:rsid w:val="003B1056"/>
    <w:rsid w:val="003B1292"/>
    <w:rsid w:val="003B1918"/>
    <w:rsid w:val="003B1E86"/>
    <w:rsid w:val="003B3608"/>
    <w:rsid w:val="003B37FD"/>
    <w:rsid w:val="003C0384"/>
    <w:rsid w:val="003C184B"/>
    <w:rsid w:val="003C3F6E"/>
    <w:rsid w:val="003C43BA"/>
    <w:rsid w:val="003E2CF3"/>
    <w:rsid w:val="003E32DD"/>
    <w:rsid w:val="003E7955"/>
    <w:rsid w:val="004031B6"/>
    <w:rsid w:val="00405600"/>
    <w:rsid w:val="0040642C"/>
    <w:rsid w:val="00407F38"/>
    <w:rsid w:val="00410211"/>
    <w:rsid w:val="0041392C"/>
    <w:rsid w:val="00420AF7"/>
    <w:rsid w:val="0042192A"/>
    <w:rsid w:val="00423EAA"/>
    <w:rsid w:val="00424B63"/>
    <w:rsid w:val="004251A3"/>
    <w:rsid w:val="00427CD6"/>
    <w:rsid w:val="00433496"/>
    <w:rsid w:val="00434D19"/>
    <w:rsid w:val="00434F2F"/>
    <w:rsid w:val="004407BE"/>
    <w:rsid w:val="004422D3"/>
    <w:rsid w:val="00452680"/>
    <w:rsid w:val="004602D7"/>
    <w:rsid w:val="004636B9"/>
    <w:rsid w:val="004644F2"/>
    <w:rsid w:val="00476723"/>
    <w:rsid w:val="00481752"/>
    <w:rsid w:val="00484F0C"/>
    <w:rsid w:val="004853BC"/>
    <w:rsid w:val="00487875"/>
    <w:rsid w:val="004940E2"/>
    <w:rsid w:val="004971F9"/>
    <w:rsid w:val="004A1754"/>
    <w:rsid w:val="004A2E50"/>
    <w:rsid w:val="004A3E6B"/>
    <w:rsid w:val="004A3F6B"/>
    <w:rsid w:val="004A5CC2"/>
    <w:rsid w:val="004A7DF7"/>
    <w:rsid w:val="004B1351"/>
    <w:rsid w:val="004B437D"/>
    <w:rsid w:val="004B75D3"/>
    <w:rsid w:val="004C7A4D"/>
    <w:rsid w:val="004D1A6C"/>
    <w:rsid w:val="004D46B9"/>
    <w:rsid w:val="004E1F58"/>
    <w:rsid w:val="004E2C69"/>
    <w:rsid w:val="004E3620"/>
    <w:rsid w:val="004E66CD"/>
    <w:rsid w:val="004E6E8B"/>
    <w:rsid w:val="004F3549"/>
    <w:rsid w:val="004F50E1"/>
    <w:rsid w:val="004F5CB0"/>
    <w:rsid w:val="0050175C"/>
    <w:rsid w:val="0050369B"/>
    <w:rsid w:val="00506D86"/>
    <w:rsid w:val="00514F11"/>
    <w:rsid w:val="00516448"/>
    <w:rsid w:val="00516BA4"/>
    <w:rsid w:val="00523D2A"/>
    <w:rsid w:val="00531154"/>
    <w:rsid w:val="005319F4"/>
    <w:rsid w:val="00532EB4"/>
    <w:rsid w:val="005340A3"/>
    <w:rsid w:val="005345EC"/>
    <w:rsid w:val="00536783"/>
    <w:rsid w:val="00536D8B"/>
    <w:rsid w:val="0054251E"/>
    <w:rsid w:val="00552684"/>
    <w:rsid w:val="00553822"/>
    <w:rsid w:val="00556AC1"/>
    <w:rsid w:val="005575D5"/>
    <w:rsid w:val="00565628"/>
    <w:rsid w:val="005759F1"/>
    <w:rsid w:val="00582033"/>
    <w:rsid w:val="005861DC"/>
    <w:rsid w:val="00594E58"/>
    <w:rsid w:val="00595D9D"/>
    <w:rsid w:val="00597AC5"/>
    <w:rsid w:val="005A0E7E"/>
    <w:rsid w:val="005A12E2"/>
    <w:rsid w:val="005B02E1"/>
    <w:rsid w:val="005B0BA1"/>
    <w:rsid w:val="005C1ED1"/>
    <w:rsid w:val="005C35C4"/>
    <w:rsid w:val="005C450B"/>
    <w:rsid w:val="005C4C40"/>
    <w:rsid w:val="005C76FE"/>
    <w:rsid w:val="005D1F32"/>
    <w:rsid w:val="005D2B9E"/>
    <w:rsid w:val="005D3324"/>
    <w:rsid w:val="005D5D04"/>
    <w:rsid w:val="005E5499"/>
    <w:rsid w:val="005F094D"/>
    <w:rsid w:val="005F5B9D"/>
    <w:rsid w:val="00600182"/>
    <w:rsid w:val="0060055A"/>
    <w:rsid w:val="00600B44"/>
    <w:rsid w:val="00601A35"/>
    <w:rsid w:val="00601E40"/>
    <w:rsid w:val="006028F8"/>
    <w:rsid w:val="006061BE"/>
    <w:rsid w:val="00610BF1"/>
    <w:rsid w:val="00615973"/>
    <w:rsid w:val="00622C2E"/>
    <w:rsid w:val="006277AD"/>
    <w:rsid w:val="0063284F"/>
    <w:rsid w:val="00633E8E"/>
    <w:rsid w:val="00634BF0"/>
    <w:rsid w:val="00635019"/>
    <w:rsid w:val="006366CD"/>
    <w:rsid w:val="00637E5C"/>
    <w:rsid w:val="006428DF"/>
    <w:rsid w:val="006436D7"/>
    <w:rsid w:val="00650529"/>
    <w:rsid w:val="00650A1B"/>
    <w:rsid w:val="006517FC"/>
    <w:rsid w:val="00655D35"/>
    <w:rsid w:val="00657DE9"/>
    <w:rsid w:val="00664F78"/>
    <w:rsid w:val="00666CDA"/>
    <w:rsid w:val="00667C6F"/>
    <w:rsid w:val="00667ED0"/>
    <w:rsid w:val="00672140"/>
    <w:rsid w:val="0067293F"/>
    <w:rsid w:val="00674B70"/>
    <w:rsid w:val="00677269"/>
    <w:rsid w:val="00677E0F"/>
    <w:rsid w:val="00692575"/>
    <w:rsid w:val="00693930"/>
    <w:rsid w:val="00693C2E"/>
    <w:rsid w:val="00695910"/>
    <w:rsid w:val="006A0885"/>
    <w:rsid w:val="006A10F8"/>
    <w:rsid w:val="006A215E"/>
    <w:rsid w:val="006B15BF"/>
    <w:rsid w:val="006B34C5"/>
    <w:rsid w:val="006B40E5"/>
    <w:rsid w:val="006B4515"/>
    <w:rsid w:val="006B6BBF"/>
    <w:rsid w:val="006C10BF"/>
    <w:rsid w:val="006C1978"/>
    <w:rsid w:val="006C4DE6"/>
    <w:rsid w:val="006C5706"/>
    <w:rsid w:val="006C5E61"/>
    <w:rsid w:val="006C7BCD"/>
    <w:rsid w:val="006D1CBE"/>
    <w:rsid w:val="006D39EE"/>
    <w:rsid w:val="006D5526"/>
    <w:rsid w:val="006D7B84"/>
    <w:rsid w:val="006E117B"/>
    <w:rsid w:val="006E341E"/>
    <w:rsid w:val="006E65E1"/>
    <w:rsid w:val="006F1442"/>
    <w:rsid w:val="007031D3"/>
    <w:rsid w:val="0070375C"/>
    <w:rsid w:val="00704FC5"/>
    <w:rsid w:val="0071325E"/>
    <w:rsid w:val="00713B8A"/>
    <w:rsid w:val="00714264"/>
    <w:rsid w:val="00720927"/>
    <w:rsid w:val="00721A39"/>
    <w:rsid w:val="00722E42"/>
    <w:rsid w:val="00723811"/>
    <w:rsid w:val="007271A8"/>
    <w:rsid w:val="00730FC2"/>
    <w:rsid w:val="00731834"/>
    <w:rsid w:val="00733354"/>
    <w:rsid w:val="00733C60"/>
    <w:rsid w:val="007374C0"/>
    <w:rsid w:val="007432AB"/>
    <w:rsid w:val="00744B1E"/>
    <w:rsid w:val="00760C37"/>
    <w:rsid w:val="00761154"/>
    <w:rsid w:val="00763F00"/>
    <w:rsid w:val="00764D72"/>
    <w:rsid w:val="00765FF3"/>
    <w:rsid w:val="007662A6"/>
    <w:rsid w:val="00771CB1"/>
    <w:rsid w:val="00782A3A"/>
    <w:rsid w:val="007843A0"/>
    <w:rsid w:val="00786CB7"/>
    <w:rsid w:val="00791B53"/>
    <w:rsid w:val="00792713"/>
    <w:rsid w:val="00793CE3"/>
    <w:rsid w:val="00794D38"/>
    <w:rsid w:val="00795021"/>
    <w:rsid w:val="007A47AE"/>
    <w:rsid w:val="007B1981"/>
    <w:rsid w:val="007B25D6"/>
    <w:rsid w:val="007B365B"/>
    <w:rsid w:val="007B3761"/>
    <w:rsid w:val="007C1FD1"/>
    <w:rsid w:val="007C23C7"/>
    <w:rsid w:val="007C359E"/>
    <w:rsid w:val="007E2A84"/>
    <w:rsid w:val="007E3313"/>
    <w:rsid w:val="007E3A60"/>
    <w:rsid w:val="007E7B6C"/>
    <w:rsid w:val="007F0A01"/>
    <w:rsid w:val="007F114F"/>
    <w:rsid w:val="00801064"/>
    <w:rsid w:val="00801388"/>
    <w:rsid w:val="00805C71"/>
    <w:rsid w:val="008074AE"/>
    <w:rsid w:val="00810B1A"/>
    <w:rsid w:val="00812327"/>
    <w:rsid w:val="00815850"/>
    <w:rsid w:val="00816CBA"/>
    <w:rsid w:val="00821757"/>
    <w:rsid w:val="008303A1"/>
    <w:rsid w:val="00830710"/>
    <w:rsid w:val="0083296A"/>
    <w:rsid w:val="00842CC5"/>
    <w:rsid w:val="00844DFC"/>
    <w:rsid w:val="00850D61"/>
    <w:rsid w:val="00856158"/>
    <w:rsid w:val="00861938"/>
    <w:rsid w:val="008622EE"/>
    <w:rsid w:val="00865963"/>
    <w:rsid w:val="008674DE"/>
    <w:rsid w:val="00871249"/>
    <w:rsid w:val="00871469"/>
    <w:rsid w:val="00874281"/>
    <w:rsid w:val="00875280"/>
    <w:rsid w:val="0088008E"/>
    <w:rsid w:val="00884B59"/>
    <w:rsid w:val="00893D8F"/>
    <w:rsid w:val="008A3A81"/>
    <w:rsid w:val="008A7CAD"/>
    <w:rsid w:val="008B13CC"/>
    <w:rsid w:val="008B7204"/>
    <w:rsid w:val="008C040B"/>
    <w:rsid w:val="008C2238"/>
    <w:rsid w:val="008D1FB0"/>
    <w:rsid w:val="008E3E74"/>
    <w:rsid w:val="008F4979"/>
    <w:rsid w:val="008F59D9"/>
    <w:rsid w:val="008F739B"/>
    <w:rsid w:val="008F7A94"/>
    <w:rsid w:val="009110CD"/>
    <w:rsid w:val="009122AC"/>
    <w:rsid w:val="00913DB3"/>
    <w:rsid w:val="00916508"/>
    <w:rsid w:val="009202CB"/>
    <w:rsid w:val="00926682"/>
    <w:rsid w:val="00926F59"/>
    <w:rsid w:val="0093283A"/>
    <w:rsid w:val="00936AB8"/>
    <w:rsid w:val="009375C4"/>
    <w:rsid w:val="00940456"/>
    <w:rsid w:val="009430A1"/>
    <w:rsid w:val="0094510A"/>
    <w:rsid w:val="00950E30"/>
    <w:rsid w:val="009520C7"/>
    <w:rsid w:val="00953126"/>
    <w:rsid w:val="009534F9"/>
    <w:rsid w:val="0095399B"/>
    <w:rsid w:val="00954801"/>
    <w:rsid w:val="0096045F"/>
    <w:rsid w:val="009625D1"/>
    <w:rsid w:val="0096444B"/>
    <w:rsid w:val="00972A2F"/>
    <w:rsid w:val="0097665A"/>
    <w:rsid w:val="00976FC2"/>
    <w:rsid w:val="00981EE2"/>
    <w:rsid w:val="009822AC"/>
    <w:rsid w:val="009827B3"/>
    <w:rsid w:val="00984EF1"/>
    <w:rsid w:val="009863B5"/>
    <w:rsid w:val="00993D60"/>
    <w:rsid w:val="00996525"/>
    <w:rsid w:val="009A1541"/>
    <w:rsid w:val="009B43E3"/>
    <w:rsid w:val="009B5CC8"/>
    <w:rsid w:val="009B6144"/>
    <w:rsid w:val="009C17B7"/>
    <w:rsid w:val="009C71E4"/>
    <w:rsid w:val="009E170A"/>
    <w:rsid w:val="009F13B0"/>
    <w:rsid w:val="009F337B"/>
    <w:rsid w:val="009F3FAD"/>
    <w:rsid w:val="009F6974"/>
    <w:rsid w:val="009F732A"/>
    <w:rsid w:val="00A01801"/>
    <w:rsid w:val="00A07AEC"/>
    <w:rsid w:val="00A13D35"/>
    <w:rsid w:val="00A204EE"/>
    <w:rsid w:val="00A2117D"/>
    <w:rsid w:val="00A25947"/>
    <w:rsid w:val="00A273FC"/>
    <w:rsid w:val="00A33BA4"/>
    <w:rsid w:val="00A37D16"/>
    <w:rsid w:val="00A46E96"/>
    <w:rsid w:val="00A47978"/>
    <w:rsid w:val="00A562AE"/>
    <w:rsid w:val="00A577A0"/>
    <w:rsid w:val="00A6051A"/>
    <w:rsid w:val="00A60E8D"/>
    <w:rsid w:val="00A6501E"/>
    <w:rsid w:val="00A713AD"/>
    <w:rsid w:val="00A71476"/>
    <w:rsid w:val="00A730F1"/>
    <w:rsid w:val="00A8385C"/>
    <w:rsid w:val="00A85065"/>
    <w:rsid w:val="00A8550A"/>
    <w:rsid w:val="00A86265"/>
    <w:rsid w:val="00A8714A"/>
    <w:rsid w:val="00A874D0"/>
    <w:rsid w:val="00A87721"/>
    <w:rsid w:val="00A9504D"/>
    <w:rsid w:val="00A95EE3"/>
    <w:rsid w:val="00A96E17"/>
    <w:rsid w:val="00AA0CAF"/>
    <w:rsid w:val="00AA1861"/>
    <w:rsid w:val="00AA198D"/>
    <w:rsid w:val="00AB0224"/>
    <w:rsid w:val="00AB1E91"/>
    <w:rsid w:val="00AB3C67"/>
    <w:rsid w:val="00AC0CFD"/>
    <w:rsid w:val="00AC27B4"/>
    <w:rsid w:val="00AC4677"/>
    <w:rsid w:val="00AD1E21"/>
    <w:rsid w:val="00AD3F97"/>
    <w:rsid w:val="00AD5436"/>
    <w:rsid w:val="00AD75E2"/>
    <w:rsid w:val="00AE0606"/>
    <w:rsid w:val="00AE2A53"/>
    <w:rsid w:val="00AE3A7F"/>
    <w:rsid w:val="00AE4FEA"/>
    <w:rsid w:val="00AE55FA"/>
    <w:rsid w:val="00AE68B9"/>
    <w:rsid w:val="00AE73BD"/>
    <w:rsid w:val="00AF26FA"/>
    <w:rsid w:val="00AF2714"/>
    <w:rsid w:val="00AF6219"/>
    <w:rsid w:val="00B01130"/>
    <w:rsid w:val="00B016BC"/>
    <w:rsid w:val="00B02A12"/>
    <w:rsid w:val="00B20525"/>
    <w:rsid w:val="00B27946"/>
    <w:rsid w:val="00B30B3A"/>
    <w:rsid w:val="00B3130B"/>
    <w:rsid w:val="00B35F4D"/>
    <w:rsid w:val="00B366A0"/>
    <w:rsid w:val="00B3736F"/>
    <w:rsid w:val="00B45D41"/>
    <w:rsid w:val="00B50A47"/>
    <w:rsid w:val="00B54A31"/>
    <w:rsid w:val="00B605DC"/>
    <w:rsid w:val="00B61661"/>
    <w:rsid w:val="00B63F86"/>
    <w:rsid w:val="00B67647"/>
    <w:rsid w:val="00B7256F"/>
    <w:rsid w:val="00B7538A"/>
    <w:rsid w:val="00B83FC5"/>
    <w:rsid w:val="00B85695"/>
    <w:rsid w:val="00B87256"/>
    <w:rsid w:val="00BA1F99"/>
    <w:rsid w:val="00BA4BDF"/>
    <w:rsid w:val="00BB0725"/>
    <w:rsid w:val="00BB3D55"/>
    <w:rsid w:val="00BB7450"/>
    <w:rsid w:val="00BB7E64"/>
    <w:rsid w:val="00BC411C"/>
    <w:rsid w:val="00BC631E"/>
    <w:rsid w:val="00BD51CF"/>
    <w:rsid w:val="00BE0973"/>
    <w:rsid w:val="00BE56D6"/>
    <w:rsid w:val="00BF26CA"/>
    <w:rsid w:val="00BF3EF1"/>
    <w:rsid w:val="00BF53C2"/>
    <w:rsid w:val="00BF78FB"/>
    <w:rsid w:val="00C002F2"/>
    <w:rsid w:val="00C010A5"/>
    <w:rsid w:val="00C02784"/>
    <w:rsid w:val="00C028E7"/>
    <w:rsid w:val="00C02AA7"/>
    <w:rsid w:val="00C06832"/>
    <w:rsid w:val="00C07CB2"/>
    <w:rsid w:val="00C10F73"/>
    <w:rsid w:val="00C17A88"/>
    <w:rsid w:val="00C31E97"/>
    <w:rsid w:val="00C33224"/>
    <w:rsid w:val="00C35B2E"/>
    <w:rsid w:val="00C3650F"/>
    <w:rsid w:val="00C41576"/>
    <w:rsid w:val="00C4541E"/>
    <w:rsid w:val="00C471E7"/>
    <w:rsid w:val="00C51526"/>
    <w:rsid w:val="00C53349"/>
    <w:rsid w:val="00C53E5C"/>
    <w:rsid w:val="00C56C07"/>
    <w:rsid w:val="00C6223D"/>
    <w:rsid w:val="00C623B9"/>
    <w:rsid w:val="00C62542"/>
    <w:rsid w:val="00C62A5D"/>
    <w:rsid w:val="00C63BCF"/>
    <w:rsid w:val="00C65D48"/>
    <w:rsid w:val="00C70967"/>
    <w:rsid w:val="00C74A6B"/>
    <w:rsid w:val="00C7544E"/>
    <w:rsid w:val="00C76592"/>
    <w:rsid w:val="00C803FF"/>
    <w:rsid w:val="00C80E72"/>
    <w:rsid w:val="00C833C8"/>
    <w:rsid w:val="00C838FA"/>
    <w:rsid w:val="00C85FD3"/>
    <w:rsid w:val="00C862EB"/>
    <w:rsid w:val="00C9178E"/>
    <w:rsid w:val="00C94CDD"/>
    <w:rsid w:val="00C97A0D"/>
    <w:rsid w:val="00CA1AEF"/>
    <w:rsid w:val="00CA3F7E"/>
    <w:rsid w:val="00CA445D"/>
    <w:rsid w:val="00CB3005"/>
    <w:rsid w:val="00CB3445"/>
    <w:rsid w:val="00CC62C9"/>
    <w:rsid w:val="00CD02CA"/>
    <w:rsid w:val="00CD08DD"/>
    <w:rsid w:val="00CD617D"/>
    <w:rsid w:val="00CD72C9"/>
    <w:rsid w:val="00CE09B2"/>
    <w:rsid w:val="00CE2511"/>
    <w:rsid w:val="00CE5827"/>
    <w:rsid w:val="00CF279F"/>
    <w:rsid w:val="00CF2F90"/>
    <w:rsid w:val="00CF43D5"/>
    <w:rsid w:val="00D03ADF"/>
    <w:rsid w:val="00D0460A"/>
    <w:rsid w:val="00D07741"/>
    <w:rsid w:val="00D07A86"/>
    <w:rsid w:val="00D11D9A"/>
    <w:rsid w:val="00D13FF0"/>
    <w:rsid w:val="00D16E23"/>
    <w:rsid w:val="00D2127A"/>
    <w:rsid w:val="00D22E8A"/>
    <w:rsid w:val="00D249AE"/>
    <w:rsid w:val="00D26343"/>
    <w:rsid w:val="00D2634B"/>
    <w:rsid w:val="00D30075"/>
    <w:rsid w:val="00D40408"/>
    <w:rsid w:val="00D46EAA"/>
    <w:rsid w:val="00D5349B"/>
    <w:rsid w:val="00D56685"/>
    <w:rsid w:val="00D56A27"/>
    <w:rsid w:val="00D659F9"/>
    <w:rsid w:val="00D67CB1"/>
    <w:rsid w:val="00D731D1"/>
    <w:rsid w:val="00D75086"/>
    <w:rsid w:val="00D76541"/>
    <w:rsid w:val="00D87A41"/>
    <w:rsid w:val="00D90BC6"/>
    <w:rsid w:val="00D91C19"/>
    <w:rsid w:val="00D93DDE"/>
    <w:rsid w:val="00D945F3"/>
    <w:rsid w:val="00D94A7A"/>
    <w:rsid w:val="00DA1C60"/>
    <w:rsid w:val="00DA73B3"/>
    <w:rsid w:val="00DB0A64"/>
    <w:rsid w:val="00DB136F"/>
    <w:rsid w:val="00DC1F2D"/>
    <w:rsid w:val="00DC36EA"/>
    <w:rsid w:val="00DC3BE9"/>
    <w:rsid w:val="00DC47E5"/>
    <w:rsid w:val="00DC7945"/>
    <w:rsid w:val="00DD1773"/>
    <w:rsid w:val="00DD243E"/>
    <w:rsid w:val="00DD4DE3"/>
    <w:rsid w:val="00DD5252"/>
    <w:rsid w:val="00DD5609"/>
    <w:rsid w:val="00DD7D43"/>
    <w:rsid w:val="00DE17F1"/>
    <w:rsid w:val="00DE3936"/>
    <w:rsid w:val="00DE67DE"/>
    <w:rsid w:val="00DE6F78"/>
    <w:rsid w:val="00DF15CD"/>
    <w:rsid w:val="00DF2209"/>
    <w:rsid w:val="00DF3D9A"/>
    <w:rsid w:val="00E0525B"/>
    <w:rsid w:val="00E0668A"/>
    <w:rsid w:val="00E07F74"/>
    <w:rsid w:val="00E10EC5"/>
    <w:rsid w:val="00E122AB"/>
    <w:rsid w:val="00E1320A"/>
    <w:rsid w:val="00E14875"/>
    <w:rsid w:val="00E14B1B"/>
    <w:rsid w:val="00E1511F"/>
    <w:rsid w:val="00E16A00"/>
    <w:rsid w:val="00E3083F"/>
    <w:rsid w:val="00E35BA4"/>
    <w:rsid w:val="00E37445"/>
    <w:rsid w:val="00E376B7"/>
    <w:rsid w:val="00E43F38"/>
    <w:rsid w:val="00E44965"/>
    <w:rsid w:val="00E464ED"/>
    <w:rsid w:val="00E47F49"/>
    <w:rsid w:val="00E51881"/>
    <w:rsid w:val="00E606D8"/>
    <w:rsid w:val="00E616F4"/>
    <w:rsid w:val="00E70AC9"/>
    <w:rsid w:val="00E727AB"/>
    <w:rsid w:val="00E8001D"/>
    <w:rsid w:val="00E80592"/>
    <w:rsid w:val="00E807A6"/>
    <w:rsid w:val="00E80D78"/>
    <w:rsid w:val="00E851DE"/>
    <w:rsid w:val="00E87F27"/>
    <w:rsid w:val="00E92E31"/>
    <w:rsid w:val="00E9348C"/>
    <w:rsid w:val="00EA286F"/>
    <w:rsid w:val="00EA6041"/>
    <w:rsid w:val="00EA6B5A"/>
    <w:rsid w:val="00EC2CBB"/>
    <w:rsid w:val="00EC3593"/>
    <w:rsid w:val="00EC388A"/>
    <w:rsid w:val="00EC539A"/>
    <w:rsid w:val="00EC62C9"/>
    <w:rsid w:val="00EC6701"/>
    <w:rsid w:val="00EC7541"/>
    <w:rsid w:val="00EC7995"/>
    <w:rsid w:val="00ED007A"/>
    <w:rsid w:val="00ED0E65"/>
    <w:rsid w:val="00ED64AB"/>
    <w:rsid w:val="00ED792F"/>
    <w:rsid w:val="00ED7BD0"/>
    <w:rsid w:val="00EE2481"/>
    <w:rsid w:val="00EE657E"/>
    <w:rsid w:val="00EF3BEB"/>
    <w:rsid w:val="00EF5962"/>
    <w:rsid w:val="00F05CD7"/>
    <w:rsid w:val="00F06085"/>
    <w:rsid w:val="00F1295B"/>
    <w:rsid w:val="00F14B85"/>
    <w:rsid w:val="00F16B91"/>
    <w:rsid w:val="00F16FBE"/>
    <w:rsid w:val="00F17C07"/>
    <w:rsid w:val="00F214D2"/>
    <w:rsid w:val="00F21AD6"/>
    <w:rsid w:val="00F245C2"/>
    <w:rsid w:val="00F3032F"/>
    <w:rsid w:val="00F3236B"/>
    <w:rsid w:val="00F33E3C"/>
    <w:rsid w:val="00F370C5"/>
    <w:rsid w:val="00F40004"/>
    <w:rsid w:val="00F407B9"/>
    <w:rsid w:val="00F46170"/>
    <w:rsid w:val="00F46C4A"/>
    <w:rsid w:val="00F569C9"/>
    <w:rsid w:val="00F57257"/>
    <w:rsid w:val="00F64EAC"/>
    <w:rsid w:val="00F66811"/>
    <w:rsid w:val="00F70C22"/>
    <w:rsid w:val="00F751AE"/>
    <w:rsid w:val="00F7560E"/>
    <w:rsid w:val="00F818E4"/>
    <w:rsid w:val="00F85522"/>
    <w:rsid w:val="00F87FCD"/>
    <w:rsid w:val="00F93594"/>
    <w:rsid w:val="00F9418B"/>
    <w:rsid w:val="00F9563A"/>
    <w:rsid w:val="00F96BE2"/>
    <w:rsid w:val="00FA1BEF"/>
    <w:rsid w:val="00FA500B"/>
    <w:rsid w:val="00FA5970"/>
    <w:rsid w:val="00FA74BD"/>
    <w:rsid w:val="00FB00B8"/>
    <w:rsid w:val="00FB1994"/>
    <w:rsid w:val="00FB61BA"/>
    <w:rsid w:val="00FB6F04"/>
    <w:rsid w:val="00FC0231"/>
    <w:rsid w:val="00FC3078"/>
    <w:rsid w:val="00FC4710"/>
    <w:rsid w:val="00FC7667"/>
    <w:rsid w:val="00FE39B6"/>
    <w:rsid w:val="00FE3D1E"/>
    <w:rsid w:val="00FE4175"/>
    <w:rsid w:val="00FE4CA0"/>
    <w:rsid w:val="00FF0287"/>
    <w:rsid w:val="00FF6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5"/>
    <o:shapelayout v:ext="edit">
      <o:idmap v:ext="edit" data="1"/>
    </o:shapelayout>
  </w:shapeDefaults>
  <w:decimalSymbol w:val=","/>
  <w:listSeparator w:val=";"/>
  <w14:docId w14:val="7C106152"/>
  <w15:docId w15:val="{375C14C5-47F2-4B17-AAEC-392EA6588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75FA"/>
    <w:rPr>
      <w:rFonts w:ascii="Calibri" w:eastAsia="Calibri" w:hAnsi="Calibri" w:cs="Times New Roman"/>
    </w:rPr>
  </w:style>
  <w:style w:type="paragraph" w:styleId="Ttulo6">
    <w:name w:val="heading 6"/>
    <w:basedOn w:val="Normal"/>
    <w:next w:val="Normal"/>
    <w:link w:val="Ttulo6Char"/>
    <w:qFormat/>
    <w:rsid w:val="000375FA"/>
    <w:pPr>
      <w:keepNext/>
      <w:spacing w:line="240" w:lineRule="auto"/>
      <w:ind w:firstLine="3969"/>
      <w:outlineLvl w:val="5"/>
    </w:pPr>
    <w:rPr>
      <w:rFonts w:ascii="Century Gothic" w:eastAsia="Times New Roman" w:hAnsi="Century Gothic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375C4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CabealhoChar">
    <w:name w:val="Cabeçalho Char"/>
    <w:basedOn w:val="Fontepargpadro"/>
    <w:link w:val="Cabealho"/>
    <w:uiPriority w:val="99"/>
    <w:rsid w:val="009375C4"/>
  </w:style>
  <w:style w:type="paragraph" w:styleId="Rodap">
    <w:name w:val="footer"/>
    <w:basedOn w:val="Normal"/>
    <w:link w:val="RodapChar"/>
    <w:uiPriority w:val="99"/>
    <w:unhideWhenUsed/>
    <w:rsid w:val="009375C4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RodapChar">
    <w:name w:val="Rodapé Char"/>
    <w:basedOn w:val="Fontepargpadro"/>
    <w:link w:val="Rodap"/>
    <w:uiPriority w:val="99"/>
    <w:rsid w:val="009375C4"/>
  </w:style>
  <w:style w:type="paragraph" w:styleId="Ttulo">
    <w:name w:val="Title"/>
    <w:basedOn w:val="Normal"/>
    <w:link w:val="TtuloChar"/>
    <w:qFormat/>
    <w:rsid w:val="00E3083F"/>
    <w:pPr>
      <w:spacing w:line="240" w:lineRule="auto"/>
      <w:ind w:firstLine="1680"/>
    </w:pPr>
    <w:rPr>
      <w:rFonts w:ascii="Arial" w:eastAsia="Times New Roman" w:hAnsi="Arial" w:cs="Arial"/>
      <w:b/>
      <w:bCs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E3083F"/>
    <w:rPr>
      <w:rFonts w:ascii="Arial" w:eastAsia="Times New Roman" w:hAnsi="Arial" w:cs="Arial"/>
      <w:b/>
      <w:bCs/>
      <w:szCs w:val="24"/>
      <w:lang w:eastAsia="pt-BR"/>
    </w:rPr>
  </w:style>
  <w:style w:type="paragraph" w:styleId="PargrafodaLista">
    <w:name w:val="List Paragraph"/>
    <w:basedOn w:val="Normal"/>
    <w:qFormat/>
    <w:rsid w:val="00213910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2684"/>
    <w:pPr>
      <w:spacing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2684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0375FA"/>
    <w:pPr>
      <w:spacing w:line="360" w:lineRule="auto"/>
      <w:ind w:firstLine="3685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unhideWhenUsed/>
    <w:rsid w:val="000375FA"/>
    <w:pPr>
      <w:spacing w:line="240" w:lineRule="auto"/>
      <w:ind w:firstLine="4253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0375F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F40004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D67CB1"/>
    <w:pPr>
      <w:autoSpaceDE w:val="0"/>
      <w:autoSpaceDN w:val="0"/>
      <w:adjustRightInd w:val="0"/>
      <w:spacing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Tabelacomgrade1">
    <w:name w:val="Tabela com grade1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2">
    <w:name w:val="Tabela com grade2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andard">
    <w:name w:val="Standard"/>
    <w:rsid w:val="005B0BA1"/>
    <w:pPr>
      <w:suppressAutoHyphens/>
      <w:autoSpaceDN w:val="0"/>
      <w:spacing w:before="120" w:after="120" w:line="240" w:lineRule="auto"/>
      <w:ind w:firstLine="567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en-US"/>
    </w:rPr>
  </w:style>
  <w:style w:type="table" w:customStyle="1" w:styleId="Tabelacomgrade3">
    <w:name w:val="Tabela com grade3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4">
    <w:name w:val="Tabela com grade4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rpodetexto">
    <w:name w:val="Body Text"/>
    <w:basedOn w:val="Normal"/>
    <w:link w:val="CorpodetextoChar"/>
    <w:uiPriority w:val="99"/>
    <w:semiHidden/>
    <w:unhideWhenUsed/>
    <w:rsid w:val="00F6681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F66811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6028F8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98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47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5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07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97383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081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56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1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2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9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2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0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58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automariola\AppData\Local\Microsoft\Windows\Temporary%20Internet%20Files\Content.MSO\AE4DA743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AB131C-7407-4DF4-AE71-198F2C61E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AE4DA743.dotx</Template>
  <TotalTime>6753</TotalTime>
  <Pages>2</Pages>
  <Words>550</Words>
  <Characters>2975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3seven</Company>
  <LinksUpToDate>false</LinksUpToDate>
  <CharactersWithSpaces>3518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adautomariola</dc:creator>
  <cp:keywords/>
  <dc:description/>
  <cp:lastModifiedBy>adautomariola</cp:lastModifiedBy>
  <cp:revision>23</cp:revision>
  <cp:lastPrinted>2019-10-18T19:06:00Z</cp:lastPrinted>
  <dcterms:created xsi:type="dcterms:W3CDTF">2017-08-11T10:28:00Z</dcterms:created>
  <dcterms:modified xsi:type="dcterms:W3CDTF">2020-07-29T14:43:00Z</dcterms:modified>
</cp:coreProperties>
</file>