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93E51" w14:textId="77777777" w:rsidR="00D67CB1" w:rsidRP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bookmarkStart w:id="0" w:name="_Hlk536717685"/>
      <w:r w:rsidRPr="00D67CB1">
        <w:rPr>
          <w:rFonts w:ascii="Century Gothic" w:hAnsi="Century Gothic" w:cs="Arial Black"/>
          <w:b/>
          <w:bCs/>
        </w:rPr>
        <w:t>INSTITUTO DE PREVIDÊNCIA DO MUNICÍPIO DE VOTUPORANGA</w:t>
      </w:r>
    </w:p>
    <w:p w14:paraId="58488117" w14:textId="77777777" w:rsid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COMITÊ DE INVESTIMENTOS</w:t>
      </w:r>
    </w:p>
    <w:p w14:paraId="708D3D1F" w14:textId="77777777" w:rsidR="00EF3BEB" w:rsidRDefault="00EF3BEB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14:paraId="756ED26F" w14:textId="16089D2D" w:rsidR="00D56685" w:rsidRDefault="001D67ED" w:rsidP="005855C0">
      <w:pPr>
        <w:tabs>
          <w:tab w:val="left" w:pos="8364"/>
        </w:tabs>
        <w:autoSpaceDE w:val="0"/>
        <w:autoSpaceDN w:val="0"/>
        <w:adjustRightInd w:val="0"/>
        <w:spacing w:line="240" w:lineRule="auto"/>
        <w:rPr>
          <w:rFonts w:ascii="Century Gothic" w:hAnsi="Century Gothic" w:cs="Arial"/>
        </w:rPr>
      </w:pPr>
      <w:r w:rsidRPr="00996525">
        <w:rPr>
          <w:rFonts w:ascii="Century Gothic" w:hAnsi="Century Gothic" w:cs="Arial"/>
          <w:b/>
        </w:rPr>
        <w:t xml:space="preserve">Ata n° </w:t>
      </w:r>
      <w:r w:rsidR="004A5CC2">
        <w:rPr>
          <w:rFonts w:ascii="Century Gothic" w:hAnsi="Century Gothic" w:cs="Arial"/>
          <w:b/>
        </w:rPr>
        <w:t>9</w:t>
      </w:r>
      <w:r w:rsidR="00BF2A0F">
        <w:rPr>
          <w:rFonts w:ascii="Century Gothic" w:hAnsi="Century Gothic" w:cs="Arial"/>
          <w:b/>
        </w:rPr>
        <w:t>5</w:t>
      </w:r>
      <w:r w:rsidRPr="00996525">
        <w:rPr>
          <w:rFonts w:ascii="Century Gothic" w:hAnsi="Century Gothic" w:cs="Arial"/>
          <w:b/>
        </w:rPr>
        <w:t>ª/20</w:t>
      </w:r>
      <w:r w:rsidR="000517D1">
        <w:rPr>
          <w:rFonts w:ascii="Century Gothic" w:hAnsi="Century Gothic" w:cs="Arial"/>
          <w:b/>
        </w:rPr>
        <w:t>20</w:t>
      </w:r>
      <w:r w:rsidRPr="00996525">
        <w:rPr>
          <w:rFonts w:ascii="Century Gothic" w:hAnsi="Century Gothic" w:cs="Arial"/>
        </w:rPr>
        <w:t xml:space="preserve"> - Aos </w:t>
      </w:r>
      <w:r w:rsidR="004B5E19">
        <w:rPr>
          <w:rFonts w:ascii="Century Gothic" w:hAnsi="Century Gothic" w:cs="Arial"/>
        </w:rPr>
        <w:t>1</w:t>
      </w:r>
      <w:r w:rsidR="00BF2A0F">
        <w:rPr>
          <w:rFonts w:ascii="Century Gothic" w:hAnsi="Century Gothic" w:cs="Arial"/>
        </w:rPr>
        <w:t>8</w:t>
      </w:r>
      <w:r w:rsidR="00856158" w:rsidRPr="00996525">
        <w:rPr>
          <w:rFonts w:ascii="Century Gothic" w:hAnsi="Century Gothic" w:cs="Arial"/>
        </w:rPr>
        <w:t xml:space="preserve"> </w:t>
      </w:r>
      <w:r w:rsidRPr="00996525">
        <w:rPr>
          <w:rFonts w:ascii="Century Gothic" w:hAnsi="Century Gothic" w:cs="Arial"/>
        </w:rPr>
        <w:t xml:space="preserve">dias do mês de </w:t>
      </w:r>
      <w:r w:rsidR="00BF2A0F">
        <w:rPr>
          <w:rFonts w:ascii="Century Gothic" w:hAnsi="Century Gothic" w:cs="Arial"/>
        </w:rPr>
        <w:t>setembro</w:t>
      </w:r>
      <w:r w:rsidR="00FF0287" w:rsidRPr="00996525">
        <w:rPr>
          <w:rFonts w:ascii="Century Gothic" w:hAnsi="Century Gothic" w:cs="Arial"/>
        </w:rPr>
        <w:t xml:space="preserve"> </w:t>
      </w:r>
      <w:r w:rsidR="00A6501E" w:rsidRPr="00996525">
        <w:rPr>
          <w:rFonts w:ascii="Century Gothic" w:hAnsi="Century Gothic" w:cs="Arial"/>
        </w:rPr>
        <w:t>do</w:t>
      </w:r>
      <w:r w:rsidRPr="00996525">
        <w:rPr>
          <w:rFonts w:ascii="Century Gothic" w:hAnsi="Century Gothic" w:cs="Arial"/>
        </w:rPr>
        <w:t xml:space="preserve"> ano de </w:t>
      </w:r>
      <w:r w:rsidR="00657DE9">
        <w:rPr>
          <w:rFonts w:ascii="Century Gothic" w:hAnsi="Century Gothic" w:cs="Arial"/>
        </w:rPr>
        <w:t>2020</w:t>
      </w:r>
      <w:r w:rsidR="00856158" w:rsidRPr="00996525">
        <w:rPr>
          <w:rFonts w:ascii="Century Gothic" w:hAnsi="Century Gothic" w:cs="Arial"/>
        </w:rPr>
        <w:t xml:space="preserve">, às </w:t>
      </w:r>
      <w:r w:rsidR="004A5CC2">
        <w:rPr>
          <w:rFonts w:ascii="Century Gothic" w:hAnsi="Century Gothic" w:cs="Arial"/>
        </w:rPr>
        <w:t>15:</w:t>
      </w:r>
      <w:r w:rsidR="000A708E">
        <w:rPr>
          <w:rFonts w:ascii="Century Gothic" w:hAnsi="Century Gothic" w:cs="Arial"/>
        </w:rPr>
        <w:t>0</w:t>
      </w:r>
      <w:r w:rsidR="001B5A68">
        <w:rPr>
          <w:rFonts w:ascii="Century Gothic" w:hAnsi="Century Gothic" w:cs="Arial"/>
        </w:rPr>
        <w:t>0hs</w:t>
      </w:r>
      <w:r w:rsidRPr="00996525">
        <w:rPr>
          <w:rFonts w:ascii="Century Gothic" w:hAnsi="Century Gothic" w:cs="Arial"/>
        </w:rPr>
        <w:t>, reuniram-se os membros do comitê de investimentos</w:t>
      </w:r>
      <w:r w:rsidR="00104CDC">
        <w:rPr>
          <w:rFonts w:ascii="Century Gothic" w:hAnsi="Century Gothic" w:cs="Arial"/>
        </w:rPr>
        <w:t xml:space="preserve">, </w:t>
      </w:r>
      <w:r w:rsidR="00D30075">
        <w:rPr>
          <w:rFonts w:ascii="Century Gothic" w:hAnsi="Century Gothic" w:cs="Arial"/>
        </w:rPr>
        <w:t>onde o Presidente apresentou a rentabilidade</w:t>
      </w:r>
      <w:r w:rsidR="00FA1BEF">
        <w:rPr>
          <w:rFonts w:ascii="Century Gothic" w:hAnsi="Century Gothic" w:cs="Arial"/>
        </w:rPr>
        <w:t xml:space="preserve"> da carteira</w:t>
      </w:r>
      <w:r w:rsidR="00D30075">
        <w:rPr>
          <w:rFonts w:ascii="Century Gothic" w:hAnsi="Century Gothic" w:cs="Arial"/>
        </w:rPr>
        <w:t xml:space="preserve"> do mês de </w:t>
      </w:r>
      <w:r w:rsidR="00BF2A0F">
        <w:rPr>
          <w:rFonts w:ascii="Century Gothic" w:hAnsi="Century Gothic" w:cs="Arial"/>
        </w:rPr>
        <w:t>agosto</w:t>
      </w:r>
      <w:r w:rsidR="00D30075">
        <w:rPr>
          <w:rFonts w:ascii="Century Gothic" w:hAnsi="Century Gothic" w:cs="Arial"/>
        </w:rPr>
        <w:t>.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28"/>
        <w:gridCol w:w="1573"/>
        <w:gridCol w:w="832"/>
        <w:gridCol w:w="1852"/>
        <w:gridCol w:w="1986"/>
        <w:gridCol w:w="1667"/>
      </w:tblGrid>
      <w:tr w:rsidR="00161971" w14:paraId="7ACC8B1D" w14:textId="77777777" w:rsidTr="00D46EAA">
        <w:tc>
          <w:tcPr>
            <w:tcW w:w="1128" w:type="dxa"/>
            <w:shd w:val="clear" w:color="auto" w:fill="D9D9D9" w:themeFill="background1" w:themeFillShade="D9"/>
            <w:vAlign w:val="center"/>
          </w:tcPr>
          <w:p w14:paraId="378BD60D" w14:textId="1F52C677" w:rsidR="00F14B85" w:rsidRPr="00BB3D55" w:rsidRDefault="00C002F2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0</w:t>
            </w:r>
            <w:r w:rsidR="00BF2A0F">
              <w:rPr>
                <w:rFonts w:ascii="Century Gothic" w:eastAsiaTheme="minorHAnsi" w:hAnsi="Century Gothic" w:cs="Verdana"/>
                <w:b/>
              </w:rPr>
              <w:t>8</w:t>
            </w:r>
            <w:r w:rsidRPr="00BB3D55">
              <w:rPr>
                <w:rFonts w:ascii="Century Gothic" w:eastAsiaTheme="minorHAnsi" w:hAnsi="Century Gothic" w:cs="Verdana"/>
                <w:b/>
              </w:rPr>
              <w:t>/2</w:t>
            </w:r>
            <w:r w:rsidR="00791B53" w:rsidRPr="00BB3D55">
              <w:rPr>
                <w:rFonts w:ascii="Century Gothic" w:eastAsiaTheme="minorHAnsi" w:hAnsi="Century Gothic" w:cs="Verdana"/>
                <w:b/>
              </w:rPr>
              <w:t>020</w:t>
            </w:r>
          </w:p>
        </w:tc>
        <w:tc>
          <w:tcPr>
            <w:tcW w:w="1573" w:type="dxa"/>
            <w:shd w:val="clear" w:color="auto" w:fill="D9D9D9" w:themeFill="background1" w:themeFillShade="D9"/>
            <w:vAlign w:val="center"/>
          </w:tcPr>
          <w:p w14:paraId="0A9F6F97" w14:textId="77777777" w:rsidR="00F14B85" w:rsidRPr="00BB3D55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Rentabilidade</w:t>
            </w:r>
          </w:p>
        </w:tc>
        <w:tc>
          <w:tcPr>
            <w:tcW w:w="832" w:type="dxa"/>
            <w:shd w:val="clear" w:color="auto" w:fill="D9D9D9" w:themeFill="background1" w:themeFillShade="D9"/>
            <w:vAlign w:val="center"/>
          </w:tcPr>
          <w:p w14:paraId="2188B68B" w14:textId="77777777" w:rsidR="00F14B85" w:rsidRPr="00BB3D55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IPCA</w:t>
            </w:r>
          </w:p>
        </w:tc>
        <w:tc>
          <w:tcPr>
            <w:tcW w:w="1852" w:type="dxa"/>
            <w:shd w:val="clear" w:color="auto" w:fill="D9D9D9" w:themeFill="background1" w:themeFillShade="D9"/>
          </w:tcPr>
          <w:p w14:paraId="14CFBF4D" w14:textId="77777777" w:rsidR="00D46EAA" w:rsidRDefault="00F14B85" w:rsidP="0016197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M</w:t>
            </w:r>
            <w:r w:rsidR="00A8385C" w:rsidRPr="00BB3D55">
              <w:rPr>
                <w:rFonts w:ascii="Century Gothic" w:eastAsiaTheme="minorHAnsi" w:hAnsi="Century Gothic" w:cs="Verdana"/>
                <w:b/>
              </w:rPr>
              <w:t>eta</w:t>
            </w:r>
          </w:p>
          <w:p w14:paraId="00EAA76C" w14:textId="77777777" w:rsidR="00F14B85" w:rsidRPr="00BB3D55" w:rsidRDefault="00F14B8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IPCA+</w:t>
            </w:r>
            <w:r w:rsidR="00A8385C" w:rsidRPr="00BB3D55">
              <w:rPr>
                <w:rFonts w:ascii="Century Gothic" w:eastAsiaTheme="minorHAnsi" w:hAnsi="Century Gothic" w:cs="Verdana"/>
                <w:b/>
              </w:rPr>
              <w:t>5,8</w:t>
            </w:r>
            <w:r w:rsidR="006E65E1" w:rsidRPr="00BB3D55">
              <w:rPr>
                <w:rFonts w:ascii="Century Gothic" w:eastAsiaTheme="minorHAnsi" w:hAnsi="Century Gothic" w:cs="Verdana"/>
                <w:b/>
              </w:rPr>
              <w:t>7</w:t>
            </w:r>
            <w:r w:rsidRPr="00BB3D55">
              <w:rPr>
                <w:rFonts w:ascii="Century Gothic" w:eastAsiaTheme="minorHAnsi" w:hAnsi="Century Gothic" w:cs="Verdana"/>
                <w:b/>
              </w:rPr>
              <w:t>%</w:t>
            </w:r>
          </w:p>
        </w:tc>
        <w:tc>
          <w:tcPr>
            <w:tcW w:w="1986" w:type="dxa"/>
            <w:shd w:val="clear" w:color="auto" w:fill="D9D9D9" w:themeFill="background1" w:themeFillShade="D9"/>
          </w:tcPr>
          <w:p w14:paraId="4525816C" w14:textId="77777777" w:rsidR="00D46EAA" w:rsidRDefault="00BB3D5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Rentabilidade</w:t>
            </w:r>
            <w:r w:rsidR="00D46EAA">
              <w:rPr>
                <w:rFonts w:ascii="Century Gothic" w:eastAsiaTheme="minorHAnsi" w:hAnsi="Century Gothic" w:cs="Verdana"/>
                <w:b/>
              </w:rPr>
              <w:t xml:space="preserve"> </w:t>
            </w:r>
          </w:p>
          <w:p w14:paraId="4AE2E600" w14:textId="77777777" w:rsidR="00F14B85" w:rsidRPr="00BB3D55" w:rsidRDefault="00926682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>
              <w:rPr>
                <w:rFonts w:ascii="Century Gothic" w:eastAsiaTheme="minorHAnsi" w:hAnsi="Century Gothic" w:cs="Verdana"/>
                <w:b/>
              </w:rPr>
              <w:t xml:space="preserve">(-) </w:t>
            </w:r>
            <w:r w:rsidR="00D46EAA">
              <w:rPr>
                <w:rFonts w:ascii="Century Gothic" w:eastAsiaTheme="minorHAnsi" w:hAnsi="Century Gothic" w:cs="Verdana"/>
                <w:b/>
              </w:rPr>
              <w:t>Meta</w:t>
            </w:r>
            <w:r w:rsidR="00BB3D55" w:rsidRPr="00BB3D55">
              <w:rPr>
                <w:rFonts w:ascii="Century Gothic" w:eastAsiaTheme="minorHAnsi" w:hAnsi="Century Gothic" w:cs="Verdana"/>
                <w:b/>
              </w:rPr>
              <w:t xml:space="preserve">  </w:t>
            </w:r>
          </w:p>
        </w:tc>
        <w:tc>
          <w:tcPr>
            <w:tcW w:w="1667" w:type="dxa"/>
            <w:vMerge w:val="restart"/>
            <w:shd w:val="clear" w:color="auto" w:fill="D9D9D9" w:themeFill="background1" w:themeFillShade="D9"/>
            <w:vAlign w:val="center"/>
          </w:tcPr>
          <w:p w14:paraId="7D9E642A" w14:textId="77777777" w:rsidR="00F14B85" w:rsidRPr="00161971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161971">
              <w:rPr>
                <w:rFonts w:ascii="Century Gothic" w:eastAsiaTheme="minorHAnsi" w:hAnsi="Century Gothic" w:cs="Verdana"/>
                <w:b/>
              </w:rPr>
              <w:t>TAXA</w:t>
            </w:r>
          </w:p>
          <w:p w14:paraId="40759B1D" w14:textId="77777777" w:rsidR="00F14B85" w:rsidRPr="00161971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161971">
              <w:rPr>
                <w:rFonts w:ascii="Century Gothic" w:eastAsiaTheme="minorHAnsi" w:hAnsi="Century Gothic" w:cs="Verdana"/>
                <w:b/>
              </w:rPr>
              <w:t>SELIC</w:t>
            </w:r>
          </w:p>
        </w:tc>
      </w:tr>
      <w:tr w:rsidR="00161971" w14:paraId="36993A49" w14:textId="77777777" w:rsidTr="00D46EAA">
        <w:tc>
          <w:tcPr>
            <w:tcW w:w="1128" w:type="dxa"/>
          </w:tcPr>
          <w:p w14:paraId="1401C0BD" w14:textId="77777777"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mês</w:t>
            </w:r>
          </w:p>
        </w:tc>
        <w:tc>
          <w:tcPr>
            <w:tcW w:w="1573" w:type="dxa"/>
          </w:tcPr>
          <w:p w14:paraId="224BC70A" w14:textId="3509505F" w:rsidR="00F14B85" w:rsidRPr="00BB3D55" w:rsidRDefault="000A50FB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-050</w:t>
            </w:r>
          </w:p>
        </w:tc>
        <w:tc>
          <w:tcPr>
            <w:tcW w:w="832" w:type="dxa"/>
          </w:tcPr>
          <w:p w14:paraId="501F7CD6" w14:textId="04751AA9" w:rsidR="00F14B85" w:rsidRPr="00BB3D55" w:rsidRDefault="00BB3D5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BB3D55">
              <w:rPr>
                <w:rFonts w:ascii="Century Gothic" w:eastAsiaTheme="minorHAnsi" w:hAnsi="Century Gothic" w:cs="Verdana"/>
              </w:rPr>
              <w:t>0</w:t>
            </w:r>
            <w:r w:rsidR="004B5E19">
              <w:rPr>
                <w:rFonts w:ascii="Century Gothic" w:eastAsiaTheme="minorHAnsi" w:hAnsi="Century Gothic" w:cs="Verdana"/>
              </w:rPr>
              <w:t>,</w:t>
            </w:r>
            <w:r w:rsidR="000A50FB">
              <w:rPr>
                <w:rFonts w:ascii="Century Gothic" w:eastAsiaTheme="minorHAnsi" w:hAnsi="Century Gothic" w:cs="Verdana"/>
              </w:rPr>
              <w:t>24</w:t>
            </w:r>
          </w:p>
        </w:tc>
        <w:tc>
          <w:tcPr>
            <w:tcW w:w="1852" w:type="dxa"/>
          </w:tcPr>
          <w:p w14:paraId="6304EC0A" w14:textId="40812230" w:rsidR="00F14B85" w:rsidRPr="00161971" w:rsidRDefault="00E807A6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161971">
              <w:rPr>
                <w:rFonts w:ascii="Century Gothic" w:eastAsiaTheme="minorHAnsi" w:hAnsi="Century Gothic" w:cs="Verdana"/>
              </w:rPr>
              <w:t>0,</w:t>
            </w:r>
            <w:r w:rsidR="000A50FB">
              <w:rPr>
                <w:rFonts w:ascii="Century Gothic" w:eastAsiaTheme="minorHAnsi" w:hAnsi="Century Gothic" w:cs="Verdana"/>
              </w:rPr>
              <w:t>71</w:t>
            </w:r>
          </w:p>
        </w:tc>
        <w:tc>
          <w:tcPr>
            <w:tcW w:w="1986" w:type="dxa"/>
          </w:tcPr>
          <w:p w14:paraId="4EE034B7" w14:textId="1E8342BC" w:rsidR="00F14B85" w:rsidRPr="00926682" w:rsidRDefault="000A50FB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-1,2</w:t>
            </w:r>
            <w:r w:rsidR="00886EE7">
              <w:rPr>
                <w:rFonts w:ascii="Century Gothic" w:eastAsiaTheme="minorHAnsi" w:hAnsi="Century Gothic" w:cs="Verdana"/>
              </w:rPr>
              <w:t>2</w:t>
            </w:r>
          </w:p>
        </w:tc>
        <w:tc>
          <w:tcPr>
            <w:tcW w:w="1667" w:type="dxa"/>
            <w:vMerge/>
            <w:shd w:val="clear" w:color="auto" w:fill="D9D9D9" w:themeFill="background1" w:themeFillShade="D9"/>
          </w:tcPr>
          <w:p w14:paraId="0A533EB4" w14:textId="77777777" w:rsidR="00F14B85" w:rsidRPr="00161971" w:rsidRDefault="00F14B85" w:rsidP="0087146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color w:val="FF0000"/>
              </w:rPr>
            </w:pPr>
          </w:p>
        </w:tc>
      </w:tr>
      <w:tr w:rsidR="00161971" w14:paraId="1F43D202" w14:textId="77777777" w:rsidTr="00D46EAA">
        <w:tc>
          <w:tcPr>
            <w:tcW w:w="1128" w:type="dxa"/>
          </w:tcPr>
          <w:p w14:paraId="2F5DD385" w14:textId="77777777"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ano</w:t>
            </w:r>
          </w:p>
        </w:tc>
        <w:tc>
          <w:tcPr>
            <w:tcW w:w="1573" w:type="dxa"/>
          </w:tcPr>
          <w:p w14:paraId="3D88565B" w14:textId="415D2A8C" w:rsidR="00F14B85" w:rsidRPr="00161971" w:rsidRDefault="000A50FB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2,39</w:t>
            </w:r>
          </w:p>
        </w:tc>
        <w:tc>
          <w:tcPr>
            <w:tcW w:w="832" w:type="dxa"/>
          </w:tcPr>
          <w:p w14:paraId="3265AE03" w14:textId="793C88F1" w:rsidR="00F14B85" w:rsidRPr="00886EE7" w:rsidRDefault="00161971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886EE7">
              <w:rPr>
                <w:rFonts w:ascii="Century Gothic" w:eastAsiaTheme="minorHAnsi" w:hAnsi="Century Gothic" w:cs="Verdana"/>
              </w:rPr>
              <w:t>0,</w:t>
            </w:r>
            <w:r w:rsidR="00886EE7" w:rsidRPr="00886EE7">
              <w:rPr>
                <w:rFonts w:ascii="Century Gothic" w:eastAsiaTheme="minorHAnsi" w:hAnsi="Century Gothic" w:cs="Verdana"/>
              </w:rPr>
              <w:t>70</w:t>
            </w:r>
          </w:p>
        </w:tc>
        <w:tc>
          <w:tcPr>
            <w:tcW w:w="1852" w:type="dxa"/>
          </w:tcPr>
          <w:p w14:paraId="01D1717A" w14:textId="0A4D312A" w:rsidR="00F14B85" w:rsidRPr="00886EE7" w:rsidRDefault="000A50FB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886EE7">
              <w:rPr>
                <w:rFonts w:ascii="Century Gothic" w:eastAsiaTheme="minorHAnsi" w:hAnsi="Century Gothic" w:cs="Verdana"/>
              </w:rPr>
              <w:t>4,60</w:t>
            </w:r>
          </w:p>
        </w:tc>
        <w:tc>
          <w:tcPr>
            <w:tcW w:w="1986" w:type="dxa"/>
          </w:tcPr>
          <w:p w14:paraId="5AFAF444" w14:textId="2CA3D79A" w:rsidR="00F14B85" w:rsidRPr="00926682" w:rsidRDefault="00886EE7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0A50FB">
              <w:rPr>
                <w:rFonts w:ascii="Century Gothic" w:eastAsiaTheme="minorHAnsi" w:hAnsi="Century Gothic" w:cs="Verdana"/>
              </w:rPr>
              <w:t>2,20</w:t>
            </w:r>
          </w:p>
        </w:tc>
        <w:tc>
          <w:tcPr>
            <w:tcW w:w="1667" w:type="dxa"/>
          </w:tcPr>
          <w:p w14:paraId="6879AF37" w14:textId="77777777" w:rsidR="00F14B85" w:rsidRPr="00161971" w:rsidRDefault="00BC631E" w:rsidP="008C184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161971">
              <w:rPr>
                <w:rFonts w:ascii="Century Gothic" w:eastAsiaTheme="minorHAnsi" w:hAnsi="Century Gothic" w:cs="Verdana"/>
              </w:rPr>
              <w:t>2,</w:t>
            </w:r>
            <w:r w:rsidR="008C1848">
              <w:rPr>
                <w:rFonts w:ascii="Century Gothic" w:eastAsiaTheme="minorHAnsi" w:hAnsi="Century Gothic" w:cs="Verdana"/>
              </w:rPr>
              <w:t>00</w:t>
            </w:r>
            <w:r w:rsidR="00F14B85" w:rsidRPr="00161971">
              <w:rPr>
                <w:rFonts w:ascii="Century Gothic" w:eastAsiaTheme="minorHAnsi" w:hAnsi="Century Gothic" w:cs="Verdana"/>
              </w:rPr>
              <w:t xml:space="preserve">% </w:t>
            </w:r>
          </w:p>
        </w:tc>
      </w:tr>
    </w:tbl>
    <w:p w14:paraId="07DC6854" w14:textId="77777777" w:rsidR="00926682" w:rsidRDefault="00926682" w:rsidP="00FA1BEF">
      <w:pPr>
        <w:autoSpaceDE w:val="0"/>
        <w:autoSpaceDN w:val="0"/>
        <w:adjustRightInd w:val="0"/>
        <w:spacing w:line="240" w:lineRule="auto"/>
        <w:jc w:val="center"/>
        <w:rPr>
          <w:rFonts w:ascii="Verdana" w:eastAsiaTheme="minorHAnsi" w:hAnsi="Verdana" w:cs="Verdana"/>
          <w:color w:val="000000"/>
          <w:sz w:val="24"/>
          <w:szCs w:val="24"/>
        </w:rPr>
      </w:pPr>
    </w:p>
    <w:p w14:paraId="2D9B0A93" w14:textId="2AE58F97" w:rsidR="00FA1BEF" w:rsidRDefault="000F6A3E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color w:val="000000"/>
          <w:sz w:val="24"/>
          <w:szCs w:val="24"/>
        </w:rPr>
      </w:pPr>
      <w:r w:rsidRPr="000F6A3E"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  <w:drawing>
          <wp:inline distT="0" distB="0" distL="0" distR="0" wp14:anchorId="7CF45A38" wp14:editId="2DBD9818">
            <wp:extent cx="5436235" cy="491744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235" cy="491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46F76" w14:textId="415A6C35" w:rsidR="000F6A3E" w:rsidRPr="005855C0" w:rsidRDefault="005855C0" w:rsidP="005855C0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  <w:r>
        <w:rPr>
          <w:rFonts w:ascii="Century Gothic" w:eastAsiaTheme="minorHAnsi" w:hAnsi="Century Gothic" w:cs="Verdana"/>
          <w:color w:val="000000"/>
        </w:rPr>
        <w:t>C</w:t>
      </w:r>
      <w:r w:rsidR="000F6A3E" w:rsidRPr="005855C0">
        <w:rPr>
          <w:rFonts w:ascii="Century Gothic" w:eastAsiaTheme="minorHAnsi" w:hAnsi="Century Gothic" w:cs="Verdana"/>
          <w:color w:val="000000"/>
        </w:rPr>
        <w:t>om o intuito de promover a liquidez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necessária para a recuperação da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atividade,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o COPOM reduziu a taxa Selic de 2,25%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para 2,00% em agosto. O BCB reiterou 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avaliação de que a pouca previsibilidade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associada à evolução da pandemia bem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como a redução dos auxílios emergenciais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no final do ano,</w:t>
      </w:r>
      <w:r>
        <w:rPr>
          <w:rFonts w:ascii="Century Gothic" w:eastAsiaTheme="minorHAnsi" w:hAnsi="Century Gothic" w:cs="Verdana"/>
          <w:color w:val="000000"/>
        </w:rPr>
        <w:t xml:space="preserve"> a</w:t>
      </w:r>
      <w:r w:rsidR="000F6A3E" w:rsidRPr="005855C0">
        <w:rPr>
          <w:rFonts w:ascii="Century Gothic" w:eastAsiaTheme="minorHAnsi" w:hAnsi="Century Gothic" w:cs="Verdana"/>
          <w:color w:val="000000"/>
        </w:rPr>
        <w:t>umentam a incerteza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sobre a velocidade de recuperação da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atividade, podendo implicar, assim, em um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cenário de retomada mais gradual da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economia. Apesar de não descartarmos 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possibilidade de que um eventual corte de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 xml:space="preserve">0,25 </w:t>
      </w:r>
      <w:proofErr w:type="spellStart"/>
      <w:r w:rsidR="000F6A3E" w:rsidRPr="005855C0">
        <w:rPr>
          <w:rFonts w:ascii="Century Gothic" w:eastAsiaTheme="minorHAnsi" w:hAnsi="Century Gothic" w:cs="Verdana"/>
          <w:color w:val="000000"/>
        </w:rPr>
        <w:t>p.p</w:t>
      </w:r>
      <w:proofErr w:type="spellEnd"/>
      <w:r w:rsidR="000F6A3E" w:rsidRPr="005855C0">
        <w:rPr>
          <w:rFonts w:ascii="Century Gothic" w:eastAsiaTheme="minorHAnsi" w:hAnsi="Century Gothic" w:cs="Verdana"/>
          <w:color w:val="000000"/>
        </w:rPr>
        <w:t>. seja efetuado na reunião de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outubro ou dezembro, mantivemos nosso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cenário de Selic a 2,00% a.a. até agosto de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2021, quando o BCB deverá iniciar 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F6A3E" w:rsidRPr="005855C0">
        <w:rPr>
          <w:rFonts w:ascii="Century Gothic" w:eastAsiaTheme="minorHAnsi" w:hAnsi="Century Gothic" w:cs="Verdana"/>
          <w:color w:val="000000"/>
        </w:rPr>
        <w:t>normalização da política monetária.</w:t>
      </w:r>
    </w:p>
    <w:p w14:paraId="7C5118BC" w14:textId="77777777" w:rsidR="000F6A3E" w:rsidRPr="005855C0" w:rsidRDefault="000F6A3E" w:rsidP="005855C0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</w:p>
    <w:p w14:paraId="3E81A8E2" w14:textId="256FAF51" w:rsidR="000F6A3E" w:rsidRPr="005855C0" w:rsidRDefault="000F6A3E" w:rsidP="005855C0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,Bold"/>
        </w:rPr>
      </w:pPr>
      <w:r w:rsidRPr="005855C0">
        <w:rPr>
          <w:rFonts w:ascii="Century Gothic" w:eastAsiaTheme="minorHAnsi" w:hAnsi="Century Gothic" w:cs="Verdana,Bold"/>
        </w:rPr>
        <w:lastRenderedPageBreak/>
        <w:t>O cenário internacional indica que as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principais economias avançadas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continuarão dando sinais de que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estão convergindo para uma fase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mais gradual da recuperação, o que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reforçará a necessidade de novos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estímulos fiscais.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Em relação à COVID-19, o número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de casos diários deve recuar nos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EUA, enquanto a taxa de mortalidade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tende a se manter controlada na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Europa, em que pese a possibilidade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de um aumento do contágio durante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o inverno.</w:t>
      </w:r>
    </w:p>
    <w:p w14:paraId="39B9BF8B" w14:textId="799200A3" w:rsidR="005855C0" w:rsidRDefault="000F6A3E" w:rsidP="00FC6BEF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,Bold"/>
        </w:rPr>
      </w:pPr>
      <w:r w:rsidRPr="005855C0">
        <w:rPr>
          <w:rFonts w:ascii="Century Gothic" w:eastAsiaTheme="minorHAnsi" w:hAnsi="Century Gothic" w:cs="Verdana,Bold"/>
        </w:rPr>
        <w:t>Na América Latina, a queda no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número de novos casos no Brasil e no</w:t>
      </w:r>
      <w:r w:rsid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 xml:space="preserve">México trouxe algum </w:t>
      </w:r>
      <w:r w:rsidR="005855C0" w:rsidRPr="005855C0">
        <w:rPr>
          <w:rFonts w:ascii="Century Gothic" w:eastAsiaTheme="minorHAnsi" w:hAnsi="Century Gothic" w:cs="Verdana,Bold"/>
        </w:rPr>
        <w:t>alento</w:t>
      </w:r>
      <w:r w:rsidR="005855C0">
        <w:rPr>
          <w:rFonts w:ascii="Century Gothic" w:eastAsiaTheme="minorHAnsi" w:hAnsi="Century Gothic" w:cs="Verdana,Bold"/>
        </w:rPr>
        <w:t>.</w:t>
      </w:r>
      <w:r w:rsidR="005855C0" w:rsidRPr="005855C0">
        <w:rPr>
          <w:rFonts w:ascii="Century Gothic" w:eastAsiaTheme="minorHAnsi" w:hAnsi="Century Gothic" w:cs="Verdana,Bold"/>
        </w:rPr>
        <w:t xml:space="preserve"> </w:t>
      </w:r>
      <w:r w:rsidR="00B87BA4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Começamos a observar uma assimetria menos favorável nos preços</w:t>
      </w:r>
      <w:r w:rsidR="005855C0" w:rsidRP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dos ativos, especialmente nos EUA, onde temos um descolamento</w:t>
      </w:r>
      <w:r w:rsidR="005855C0" w:rsidRP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dos fundamentos (estimativas de lucros) aliado a um cenário</w:t>
      </w:r>
      <w:r w:rsidR="005855C0" w:rsidRP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próximo mais incerto, decorrente das eleições em novembro, que</w:t>
      </w:r>
      <w:r w:rsidR="005855C0" w:rsidRP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pode adicionar volatilidade. Aqui no Brasil, o setor financeiro, o</w:t>
      </w:r>
      <w:r w:rsidR="005855C0" w:rsidRP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qual detém mais de 20% do IBOV ainda segue travado e um</w:t>
      </w:r>
      <w:r w:rsidR="005855C0" w:rsidRP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grande fluxo de ofertas primárias (IPO) que já levantou mais de R$ 50 bilhões neste ano, poderá</w:t>
      </w:r>
      <w:r w:rsidR="005855C0" w:rsidRP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movimentar mais alguns bilhões devido ao número de ofertas que</w:t>
      </w:r>
      <w:r w:rsidR="005855C0" w:rsidRP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vem sendo solicitadas à CVM, podendo assim, drenar potenciais</w:t>
      </w:r>
      <w:r w:rsidR="005855C0" w:rsidRP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recursos para ativos já negociados no índice e contribuindo para</w:t>
      </w:r>
      <w:r w:rsidR="005855C0" w:rsidRPr="005855C0">
        <w:rPr>
          <w:rFonts w:ascii="Century Gothic" w:eastAsiaTheme="minorHAnsi" w:hAnsi="Century Gothic" w:cs="Verdana,Bold"/>
        </w:rPr>
        <w:t xml:space="preserve"> </w:t>
      </w:r>
      <w:r w:rsidRPr="005855C0">
        <w:rPr>
          <w:rFonts w:ascii="Century Gothic" w:eastAsiaTheme="minorHAnsi" w:hAnsi="Century Gothic" w:cs="Verdana,Bold"/>
        </w:rPr>
        <w:t>que o Ibovespa siga mais lateralizado nos próximos meses.</w:t>
      </w:r>
    </w:p>
    <w:p w14:paraId="65275665" w14:textId="528F124E" w:rsidR="00FC6BEF" w:rsidRDefault="00FC6BEF" w:rsidP="00FC6BEF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,Bold"/>
        </w:rPr>
      </w:pPr>
    </w:p>
    <w:p w14:paraId="3DD72897" w14:textId="58FA686F" w:rsidR="00B87BA4" w:rsidRDefault="00FC6BEF" w:rsidP="00FC6BEF">
      <w:pPr>
        <w:autoSpaceDE w:val="0"/>
        <w:autoSpaceDN w:val="0"/>
        <w:adjustRightInd w:val="0"/>
        <w:spacing w:line="240" w:lineRule="auto"/>
        <w:rPr>
          <w:rFonts w:ascii="Century Gothic" w:hAnsi="Century Gothic"/>
        </w:rPr>
      </w:pPr>
      <w:r w:rsidRPr="00FC6BEF">
        <w:rPr>
          <w:rFonts w:ascii="Century Gothic" w:hAnsi="Century Gothic"/>
        </w:rPr>
        <w:t>O</w:t>
      </w:r>
      <w:r w:rsidR="00B87BA4">
        <w:rPr>
          <w:rFonts w:ascii="Century Gothic" w:hAnsi="Century Gothic"/>
        </w:rPr>
        <w:t xml:space="preserve"> </w:t>
      </w:r>
      <w:r w:rsidRPr="00FC6BEF">
        <w:rPr>
          <w:rFonts w:ascii="Century Gothic" w:hAnsi="Century Gothic"/>
        </w:rPr>
        <w:t>desempenho do Ibovespa foi negativo no mês, na</w:t>
      </w:r>
      <w:r w:rsidR="00B87BA4">
        <w:rPr>
          <w:rFonts w:ascii="Century Gothic" w:hAnsi="Century Gothic"/>
        </w:rPr>
        <w:t xml:space="preserve"> </w:t>
      </w:r>
      <w:r w:rsidRPr="00FC6BEF">
        <w:rPr>
          <w:rFonts w:ascii="Century Gothic" w:hAnsi="Century Gothic"/>
        </w:rPr>
        <w:t>contramão do movimento observado nas principais</w:t>
      </w:r>
      <w:r w:rsidR="00B87BA4">
        <w:rPr>
          <w:rFonts w:ascii="Century Gothic" w:hAnsi="Century Gothic"/>
        </w:rPr>
        <w:t xml:space="preserve"> </w:t>
      </w:r>
      <w:r w:rsidRPr="00FC6BEF">
        <w:rPr>
          <w:rFonts w:ascii="Century Gothic" w:hAnsi="Century Gothic"/>
        </w:rPr>
        <w:t>bolsas globais</w:t>
      </w:r>
      <w:r w:rsidR="00B87BA4">
        <w:rPr>
          <w:rFonts w:ascii="Century Gothic" w:hAnsi="Century Gothic"/>
        </w:rPr>
        <w:t>.</w:t>
      </w:r>
      <w:r w:rsidRPr="00FC6BEF">
        <w:rPr>
          <w:rFonts w:ascii="Century Gothic" w:hAnsi="Century Gothic"/>
        </w:rPr>
        <w:t xml:space="preserve"> Por aqui, o Ibovespa apresentou</w:t>
      </w:r>
      <w:r w:rsidR="00B87BA4">
        <w:rPr>
          <w:rFonts w:ascii="Century Gothic" w:hAnsi="Century Gothic"/>
        </w:rPr>
        <w:t xml:space="preserve"> </w:t>
      </w:r>
      <w:r w:rsidRPr="00FC6BEF">
        <w:rPr>
          <w:rFonts w:ascii="Century Gothic" w:hAnsi="Century Gothic"/>
        </w:rPr>
        <w:t>queda de 3</w:t>
      </w:r>
      <w:r w:rsidR="00B87BA4">
        <w:rPr>
          <w:rFonts w:ascii="Century Gothic" w:hAnsi="Century Gothic"/>
        </w:rPr>
        <w:t xml:space="preserve">,4%, </w:t>
      </w:r>
      <w:r w:rsidRPr="00FC6BEF">
        <w:rPr>
          <w:rFonts w:ascii="Century Gothic" w:hAnsi="Century Gothic"/>
        </w:rPr>
        <w:t>dada a deterioração da perspectiva do</w:t>
      </w:r>
      <w:r w:rsidR="00B87BA4">
        <w:rPr>
          <w:rFonts w:ascii="Century Gothic" w:hAnsi="Century Gothic"/>
        </w:rPr>
        <w:t xml:space="preserve"> </w:t>
      </w:r>
      <w:r w:rsidRPr="00FC6BEF">
        <w:rPr>
          <w:rFonts w:ascii="Century Gothic" w:hAnsi="Century Gothic"/>
        </w:rPr>
        <w:t>quadro fiscal, com dúvidas sobre a sustentabilidade</w:t>
      </w:r>
      <w:r w:rsidR="00B87BA4">
        <w:rPr>
          <w:rFonts w:ascii="Century Gothic" w:hAnsi="Century Gothic"/>
        </w:rPr>
        <w:t xml:space="preserve"> </w:t>
      </w:r>
      <w:r w:rsidRPr="00FC6BEF">
        <w:rPr>
          <w:rFonts w:ascii="Century Gothic" w:hAnsi="Century Gothic"/>
        </w:rPr>
        <w:t>da dívida e o cumprimento do teto dos gastos ao</w:t>
      </w:r>
      <w:r w:rsidR="00B87BA4">
        <w:rPr>
          <w:rFonts w:ascii="Century Gothic" w:hAnsi="Century Gothic"/>
        </w:rPr>
        <w:t xml:space="preserve"> </w:t>
      </w:r>
      <w:r w:rsidRPr="00FC6BEF">
        <w:rPr>
          <w:rFonts w:ascii="Century Gothic" w:hAnsi="Century Gothic"/>
        </w:rPr>
        <w:t>longo dos próximos anos</w:t>
      </w:r>
      <w:r w:rsidR="00B87BA4">
        <w:rPr>
          <w:rFonts w:ascii="Century Gothic" w:hAnsi="Century Gothic"/>
        </w:rPr>
        <w:t xml:space="preserve">.  </w:t>
      </w:r>
    </w:p>
    <w:p w14:paraId="7B7782FE" w14:textId="1D227F70" w:rsidR="00B87BA4" w:rsidRDefault="00B87BA4" w:rsidP="00B87BA4">
      <w:pPr>
        <w:autoSpaceDE w:val="0"/>
        <w:autoSpaceDN w:val="0"/>
        <w:adjustRightInd w:val="0"/>
        <w:spacing w:line="240" w:lineRule="auto"/>
        <w:rPr>
          <w:rFonts w:ascii="Century Gothic" w:hAnsi="Century Gothic"/>
        </w:rPr>
      </w:pPr>
      <w:r w:rsidRPr="00B87BA4">
        <w:rPr>
          <w:rFonts w:ascii="Century Gothic" w:hAnsi="Century Gothic"/>
        </w:rPr>
        <w:t>O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desempenho dos ativos de renda fixa foi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preponderantemente negativo</w:t>
      </w:r>
      <w:r>
        <w:rPr>
          <w:rFonts w:ascii="Century Gothic" w:hAnsi="Century Gothic"/>
        </w:rPr>
        <w:t>.</w:t>
      </w:r>
      <w:r w:rsidRPr="00B87BA4">
        <w:rPr>
          <w:rFonts w:ascii="Century Gothic" w:hAnsi="Century Gothic"/>
        </w:rPr>
        <w:t xml:space="preserve"> O principal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catalisador foi a preocupação com a deterioração do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quadro fiscal, com dúvidas sobre a sustentabilidade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das contas públicas e o cumprimento do teto dos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gastos ao longo dos próximos anos</w:t>
      </w:r>
      <w:r>
        <w:rPr>
          <w:rFonts w:ascii="Century Gothic" w:hAnsi="Century Gothic"/>
        </w:rPr>
        <w:t>.</w:t>
      </w:r>
      <w:r w:rsidRPr="00B87BA4">
        <w:rPr>
          <w:rFonts w:ascii="Century Gothic" w:hAnsi="Century Gothic"/>
        </w:rPr>
        <w:t xml:space="preserve"> Por outro lado, o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Banco Central implementou um corte residual dos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juros básicos e indicou que eles devem permanecer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em níveis baixos por um período relativamente longo</w:t>
      </w:r>
      <w:r>
        <w:rPr>
          <w:rFonts w:ascii="Century Gothic" w:hAnsi="Century Gothic"/>
        </w:rPr>
        <w:t xml:space="preserve">. </w:t>
      </w:r>
      <w:r w:rsidRPr="00B87BA4">
        <w:rPr>
          <w:rFonts w:ascii="Century Gothic" w:hAnsi="Century Gothic"/>
        </w:rPr>
        <w:t>Diante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disso, os vértices mais longos das curvas de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juros reais e nominais tiveram altas expressivas,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 xml:space="preserve">enquanto os vértices mais curtos da curva </w:t>
      </w:r>
      <w:proofErr w:type="spellStart"/>
      <w:r w:rsidRPr="00B87BA4">
        <w:rPr>
          <w:rFonts w:ascii="Century Gothic" w:hAnsi="Century Gothic"/>
        </w:rPr>
        <w:t>pré</w:t>
      </w:r>
      <w:proofErr w:type="spellEnd"/>
      <w:r w:rsidRPr="00B87BA4">
        <w:rPr>
          <w:rFonts w:ascii="Century Gothic" w:hAnsi="Century Gothic"/>
        </w:rPr>
        <w:t xml:space="preserve"> fixada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tiveram comportamento neutro</w:t>
      </w:r>
      <w:r>
        <w:rPr>
          <w:rFonts w:ascii="Century Gothic" w:hAnsi="Century Gothic"/>
        </w:rPr>
        <w:t>.</w:t>
      </w:r>
      <w:r w:rsidRPr="00B87BA4">
        <w:rPr>
          <w:rFonts w:ascii="Century Gothic" w:hAnsi="Century Gothic"/>
        </w:rPr>
        <w:t xml:space="preserve"> Em contrapartida, as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 xml:space="preserve">NTN </w:t>
      </w:r>
      <w:proofErr w:type="spellStart"/>
      <w:r w:rsidRPr="00B87BA4">
        <w:rPr>
          <w:rFonts w:ascii="Century Gothic" w:hAnsi="Century Gothic"/>
        </w:rPr>
        <w:t>Bs</w:t>
      </w:r>
      <w:proofErr w:type="spellEnd"/>
      <w:r w:rsidRPr="00B87BA4">
        <w:rPr>
          <w:rFonts w:ascii="Century Gothic" w:hAnsi="Century Gothic"/>
        </w:rPr>
        <w:t xml:space="preserve"> mais curtas tiveram desempenho levemente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positivo em virtude de aumento do preço da gasolina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e possível impacto no IPCA, enquanto os vértices mais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longos sofreram na esteira do quadro fiscal</w:t>
      </w:r>
      <w:r>
        <w:rPr>
          <w:rFonts w:ascii="Century Gothic" w:hAnsi="Century Gothic"/>
        </w:rPr>
        <w:t>.</w:t>
      </w:r>
      <w:r w:rsidRPr="00B87BA4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O</w:t>
      </w:r>
      <w:r w:rsidRPr="00B87BA4">
        <w:rPr>
          <w:rFonts w:ascii="Century Gothic" w:hAnsi="Century Gothic"/>
        </w:rPr>
        <w:t xml:space="preserve"> desempenho dos fundos de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renda fixa ficou acima do CDI no mês</w:t>
      </w:r>
      <w:r>
        <w:rPr>
          <w:rFonts w:ascii="Century Gothic" w:hAnsi="Century Gothic"/>
        </w:rPr>
        <w:t xml:space="preserve">. </w:t>
      </w:r>
      <w:r w:rsidRPr="00B87BA4">
        <w:rPr>
          <w:rFonts w:ascii="Century Gothic" w:hAnsi="Century Gothic"/>
        </w:rPr>
        <w:t>O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 xml:space="preserve">resultado para os índices </w:t>
      </w:r>
      <w:proofErr w:type="spellStart"/>
      <w:r w:rsidRPr="00B87BA4">
        <w:rPr>
          <w:rFonts w:ascii="Century Gothic" w:hAnsi="Century Gothic"/>
        </w:rPr>
        <w:t>Anbima</w:t>
      </w:r>
      <w:proofErr w:type="spellEnd"/>
      <w:r w:rsidRPr="00B87BA4">
        <w:rPr>
          <w:rFonts w:ascii="Century Gothic" w:hAnsi="Century Gothic"/>
        </w:rPr>
        <w:t xml:space="preserve"> foi negativo</w:t>
      </w:r>
      <w:r>
        <w:rPr>
          <w:rFonts w:ascii="Century Gothic" w:hAnsi="Century Gothic"/>
        </w:rPr>
        <w:t xml:space="preserve">. </w:t>
      </w:r>
      <w:r w:rsidRPr="00B87BA4">
        <w:rPr>
          <w:rFonts w:ascii="Century Gothic" w:hAnsi="Century Gothic"/>
        </w:rPr>
        <w:t>As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exceções foram o IMA B 5 e o IRFM 1 que, por serem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indexados aos títulos públicos de curto prazo,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apresentaram desempenho positivo</w:t>
      </w:r>
      <w:r>
        <w:rPr>
          <w:rFonts w:ascii="Century Gothic" w:hAnsi="Century Gothic"/>
        </w:rPr>
        <w:t>.</w:t>
      </w:r>
      <w:r w:rsidRPr="00B87BA4">
        <w:rPr>
          <w:rFonts w:ascii="Century Gothic" w:hAnsi="Century Gothic"/>
        </w:rPr>
        <w:t xml:space="preserve"> No acumulado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 xml:space="preserve">do ano, a maioria dos índices </w:t>
      </w:r>
      <w:proofErr w:type="spellStart"/>
      <w:r w:rsidRPr="00B87BA4">
        <w:rPr>
          <w:rFonts w:ascii="Century Gothic" w:hAnsi="Century Gothic"/>
        </w:rPr>
        <w:t>Anbima</w:t>
      </w:r>
      <w:proofErr w:type="spellEnd"/>
      <w:r w:rsidRPr="00B87BA4">
        <w:rPr>
          <w:rFonts w:ascii="Century Gothic" w:hAnsi="Century Gothic"/>
        </w:rPr>
        <w:t xml:space="preserve"> supera o CDI</w:t>
      </w:r>
      <w:r>
        <w:rPr>
          <w:rFonts w:ascii="Century Gothic" w:hAnsi="Century Gothic"/>
        </w:rPr>
        <w:t xml:space="preserve">. </w:t>
      </w:r>
      <w:r w:rsidRPr="00B87BA4">
        <w:rPr>
          <w:rFonts w:ascii="Century Gothic" w:hAnsi="Century Gothic"/>
        </w:rPr>
        <w:t>Olhando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à frente, o cenário para os ativos de renda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fixa é favorecido pela ótica global, em virtude de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política monetária amplamente expansionista e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curvas de juros internacionais em níveis</w:t>
      </w:r>
      <w:r>
        <w:rPr>
          <w:rFonts w:ascii="Century Gothic" w:hAnsi="Century Gothic"/>
        </w:rPr>
        <w:t xml:space="preserve"> </w:t>
      </w:r>
      <w:r w:rsidRPr="00B87BA4">
        <w:rPr>
          <w:rFonts w:ascii="Century Gothic" w:hAnsi="Century Gothic"/>
        </w:rPr>
        <w:t>historicamente baixos</w:t>
      </w:r>
      <w:r>
        <w:rPr>
          <w:rFonts w:ascii="Century Gothic" w:hAnsi="Century Gothic"/>
        </w:rPr>
        <w:t xml:space="preserve">. </w:t>
      </w:r>
    </w:p>
    <w:p w14:paraId="667E2955" w14:textId="77777777" w:rsidR="00595DCF" w:rsidRDefault="00F87FCD" w:rsidP="00273045">
      <w:pPr>
        <w:autoSpaceDE w:val="0"/>
        <w:autoSpaceDN w:val="0"/>
        <w:adjustRightInd w:val="0"/>
        <w:rPr>
          <w:rFonts w:ascii="Century Gothic" w:eastAsiaTheme="minorHAnsi" w:hAnsi="Century Gothic" w:cs="Helvetica"/>
        </w:rPr>
      </w:pPr>
      <w:r w:rsidRPr="00595DCF">
        <w:rPr>
          <w:rFonts w:ascii="Century Gothic" w:hAnsi="Century Gothic"/>
        </w:rPr>
        <w:t xml:space="preserve">Diante das análises, o comitê </w:t>
      </w:r>
      <w:r w:rsidR="00A273FC" w:rsidRPr="00595DCF">
        <w:rPr>
          <w:rFonts w:ascii="Century Gothic" w:hAnsi="Century Gothic"/>
        </w:rPr>
        <w:t>decidiu</w:t>
      </w:r>
      <w:r w:rsidR="004F5D0D" w:rsidRPr="00595DCF">
        <w:rPr>
          <w:rFonts w:ascii="Century Gothic" w:hAnsi="Century Gothic"/>
        </w:rPr>
        <w:t xml:space="preserve"> </w:t>
      </w:r>
      <w:r w:rsidR="0001739C" w:rsidRPr="00595DCF">
        <w:rPr>
          <w:rFonts w:ascii="Century Gothic" w:hAnsi="Century Gothic"/>
        </w:rPr>
        <w:t xml:space="preserve">por: </w:t>
      </w:r>
      <w:r w:rsidR="006A1A8B" w:rsidRPr="00595DCF">
        <w:rPr>
          <w:rFonts w:ascii="Century Gothic" w:hAnsi="Century Gothic"/>
        </w:rPr>
        <w:t xml:space="preserve">Aplicar os novos recursos no </w:t>
      </w:r>
      <w:r w:rsidR="00B87BA4" w:rsidRPr="00595DCF">
        <w:rPr>
          <w:rFonts w:ascii="Century Gothic" w:eastAsiaTheme="minorHAnsi" w:hAnsi="Century Gothic" w:cs="Helvetica"/>
        </w:rPr>
        <w:t>BB Previdenciário Renda Fixa Alocação Ativa Retorno Total</w:t>
      </w:r>
      <w:r w:rsidR="006A1A8B" w:rsidRPr="00595DCF">
        <w:rPr>
          <w:rFonts w:ascii="Century Gothic" w:eastAsiaTheme="minorHAnsi" w:hAnsi="Century Gothic" w:cs="Helvetica"/>
        </w:rPr>
        <w:t xml:space="preserve"> e no Fundo IRFM1 BB</w:t>
      </w:r>
      <w:r w:rsidR="00EC3092" w:rsidRPr="00595DCF">
        <w:rPr>
          <w:rFonts w:ascii="Century Gothic" w:eastAsiaTheme="minorHAnsi" w:hAnsi="Century Gothic" w:cs="Helvetica"/>
        </w:rPr>
        <w:t>.</w:t>
      </w:r>
    </w:p>
    <w:p w14:paraId="65D50C88" w14:textId="11049A71" w:rsidR="00F87FCD" w:rsidRPr="00595DCF" w:rsidRDefault="00595DCF" w:rsidP="00273045">
      <w:pPr>
        <w:autoSpaceDE w:val="0"/>
        <w:autoSpaceDN w:val="0"/>
        <w:adjustRightInd w:val="0"/>
        <w:rPr>
          <w:rFonts w:ascii="Century Gothic" w:hAnsi="Century Gothic" w:cs="Arial"/>
        </w:rPr>
      </w:pPr>
      <w:r w:rsidRPr="00595DCF">
        <w:rPr>
          <w:rFonts w:ascii="Century Gothic" w:hAnsi="Century Gothic"/>
          <w:shd w:val="clear" w:color="auto" w:fill="FFFFFF" w:themeFill="background1"/>
        </w:rPr>
        <w:t xml:space="preserve">O valor da </w:t>
      </w:r>
      <w:r w:rsidR="00BC041A" w:rsidRPr="00595DCF">
        <w:rPr>
          <w:rFonts w:ascii="Century Gothic" w:hAnsi="Century Gothic"/>
          <w:shd w:val="clear" w:color="auto" w:fill="FFFFFF" w:themeFill="background1"/>
        </w:rPr>
        <w:t xml:space="preserve">taxa de administração será aplicado </w:t>
      </w:r>
      <w:r w:rsidRPr="00595DCF">
        <w:rPr>
          <w:rFonts w:ascii="Century Gothic" w:hAnsi="Century Gothic"/>
          <w:shd w:val="clear" w:color="auto" w:fill="FFFFFF" w:themeFill="background1"/>
        </w:rPr>
        <w:t xml:space="preserve">no </w:t>
      </w:r>
      <w:r w:rsidR="00BC041A" w:rsidRPr="00595DCF">
        <w:rPr>
          <w:rFonts w:ascii="Century Gothic" w:hAnsi="Century Gothic"/>
          <w:shd w:val="clear" w:color="auto" w:fill="FFFFFF" w:themeFill="background1"/>
        </w:rPr>
        <w:t>Fundo</w:t>
      </w:r>
      <w:r w:rsidR="00F87FCD" w:rsidRPr="00595DCF">
        <w:rPr>
          <w:rFonts w:ascii="Century Gothic" w:eastAsiaTheme="minorHAnsi" w:hAnsi="Century Gothic" w:cs="BookmanOldStyle"/>
        </w:rPr>
        <w:t xml:space="preserve"> DI </w:t>
      </w:r>
      <w:r w:rsidR="000D32D7" w:rsidRPr="00595DCF">
        <w:rPr>
          <w:rFonts w:ascii="Century Gothic" w:eastAsiaTheme="minorHAnsi" w:hAnsi="Century Gothic" w:cs="BookmanOldStyle"/>
        </w:rPr>
        <w:t>F</w:t>
      </w:r>
      <w:r w:rsidR="003F7565" w:rsidRPr="00595DCF">
        <w:rPr>
          <w:rFonts w:ascii="Century Gothic" w:eastAsiaTheme="minorHAnsi" w:hAnsi="Century Gothic" w:cs="BookmanOldStyle"/>
        </w:rPr>
        <w:t>luxo</w:t>
      </w:r>
      <w:r w:rsidR="000D32D7" w:rsidRPr="00595DCF">
        <w:rPr>
          <w:rFonts w:ascii="Century Gothic" w:eastAsiaTheme="minorHAnsi" w:hAnsi="Century Gothic" w:cs="BookmanOldStyle"/>
        </w:rPr>
        <w:t xml:space="preserve"> </w:t>
      </w:r>
      <w:r w:rsidR="00F87FCD" w:rsidRPr="00595DCF">
        <w:rPr>
          <w:rFonts w:ascii="Century Gothic" w:eastAsiaTheme="minorHAnsi" w:hAnsi="Century Gothic" w:cs="BookmanOldStyle"/>
        </w:rPr>
        <w:t>do BB</w:t>
      </w:r>
    </w:p>
    <w:p w14:paraId="1B938971" w14:textId="03602514" w:rsidR="00516448" w:rsidRPr="0001739C" w:rsidRDefault="00E44965" w:rsidP="00273045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  <w:r w:rsidRPr="0001739C">
        <w:rPr>
          <w:rFonts w:ascii="Century Gothic" w:hAnsi="Century Gothic" w:cs="Arial"/>
          <w:color w:val="000000" w:themeColor="text1"/>
        </w:rPr>
        <w:t>Nada mais havendo a tratar, a reunião foi encerrada às 1</w:t>
      </w:r>
      <w:r w:rsidR="00BB3C52" w:rsidRPr="0001739C">
        <w:rPr>
          <w:rFonts w:ascii="Century Gothic" w:hAnsi="Century Gothic" w:cs="Arial"/>
          <w:color w:val="000000" w:themeColor="text1"/>
        </w:rPr>
        <w:t>6:</w:t>
      </w:r>
      <w:r w:rsidR="00595DCF">
        <w:rPr>
          <w:rFonts w:ascii="Century Gothic" w:hAnsi="Century Gothic" w:cs="Arial"/>
          <w:color w:val="000000" w:themeColor="text1"/>
        </w:rPr>
        <w:t>35</w:t>
      </w:r>
      <w:r w:rsidRPr="0001739C">
        <w:rPr>
          <w:rFonts w:ascii="Century Gothic" w:hAnsi="Century Gothic" w:cs="Arial"/>
          <w:color w:val="000000" w:themeColor="text1"/>
        </w:rPr>
        <w:t xml:space="preserve">hs, onde a ata foi lida, aprovada e </w:t>
      </w:r>
      <w:r w:rsidR="005D5D04" w:rsidRPr="0001739C">
        <w:rPr>
          <w:rFonts w:ascii="Century Gothic" w:hAnsi="Century Gothic" w:cs="Arial"/>
          <w:color w:val="000000" w:themeColor="text1"/>
        </w:rPr>
        <w:t xml:space="preserve">será </w:t>
      </w:r>
      <w:r w:rsidRPr="0001739C">
        <w:rPr>
          <w:rFonts w:ascii="Century Gothic" w:hAnsi="Century Gothic" w:cs="Arial"/>
          <w:color w:val="000000" w:themeColor="text1"/>
        </w:rPr>
        <w:t>assinada pelos integrantes do comitê presentes à reunião</w:t>
      </w:r>
      <w:r w:rsidR="00516448" w:rsidRPr="0001739C">
        <w:rPr>
          <w:rFonts w:ascii="Century Gothic" w:hAnsi="Century Gothic" w:cs="Arial"/>
          <w:color w:val="000000" w:themeColor="text1"/>
        </w:rPr>
        <w:t>.</w:t>
      </w:r>
    </w:p>
    <w:p w14:paraId="28EEA98C" w14:textId="77777777" w:rsidR="005D5D04" w:rsidRPr="0001739C" w:rsidRDefault="005D5D0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14:paraId="2E3C3E96" w14:textId="77777777" w:rsidR="00E8001D" w:rsidRDefault="00E8001D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14:paraId="5839CB92" w14:textId="77777777" w:rsidR="005D5D04" w:rsidRPr="000D5099" w:rsidRDefault="005D5D0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bookmarkEnd w:id="0"/>
    <w:p w14:paraId="41C20567" w14:textId="3337E558" w:rsidR="003E2CF3" w:rsidRPr="003E2CF3" w:rsidRDefault="00382AEC" w:rsidP="00382AEC">
      <w:pPr>
        <w:ind w:left="-284" w:right="-427"/>
        <w:rPr>
          <w:rFonts w:ascii="Century Gothic" w:hAnsi="Century Gothic" w:cs="Arial"/>
        </w:rPr>
      </w:pPr>
      <w:r w:rsidRPr="003E2CF3">
        <w:rPr>
          <w:rFonts w:ascii="Century Gothic" w:hAnsi="Century Gothic" w:cs="Arial"/>
          <w:sz w:val="24"/>
          <w:szCs w:val="24"/>
        </w:rPr>
        <w:t xml:space="preserve">    Adauto C. Mariola    João B. André     Agnaldo S. </w:t>
      </w:r>
      <w:proofErr w:type="spellStart"/>
      <w:r w:rsidRPr="003E2CF3">
        <w:rPr>
          <w:rFonts w:ascii="Century Gothic" w:hAnsi="Century Gothic" w:cs="Arial"/>
          <w:sz w:val="24"/>
          <w:szCs w:val="24"/>
        </w:rPr>
        <w:t>Masson</w:t>
      </w:r>
      <w:proofErr w:type="spellEnd"/>
      <w:r w:rsidRPr="003E2CF3">
        <w:rPr>
          <w:rFonts w:ascii="Century Gothic" w:hAnsi="Century Gothic" w:cs="Arial"/>
          <w:sz w:val="24"/>
          <w:szCs w:val="24"/>
        </w:rPr>
        <w:t xml:space="preserve">       Alexandre V. Lima</w:t>
      </w:r>
    </w:p>
    <w:sectPr w:rsidR="003E2CF3" w:rsidRPr="003E2CF3" w:rsidSect="00377034">
      <w:headerReference w:type="default" r:id="rId9"/>
      <w:footerReference w:type="default" r:id="rId10"/>
      <w:pgSz w:w="11906" w:h="16838"/>
      <w:pgMar w:top="1417" w:right="1416" w:bottom="141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3783AF" w14:textId="77777777" w:rsidR="00E43F38" w:rsidRDefault="00E43F38" w:rsidP="009375C4">
      <w:pPr>
        <w:spacing w:line="240" w:lineRule="auto"/>
      </w:pPr>
      <w:r>
        <w:separator/>
      </w:r>
    </w:p>
  </w:endnote>
  <w:endnote w:type="continuationSeparator" w:id="0">
    <w:p w14:paraId="0C636699" w14:textId="77777777" w:rsidR="00E43F38" w:rsidRDefault="00E43F38" w:rsidP="00937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,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FC3B5B" w14:textId="77777777" w:rsidR="000F79D6" w:rsidRPr="00AE0606" w:rsidRDefault="000F79D6" w:rsidP="00AE0606">
    <w:pPr>
      <w:pStyle w:val="Rodap"/>
      <w:jc w:val="center"/>
      <w:rPr>
        <w:rFonts w:ascii="Verdana" w:hAnsi="Verdana"/>
        <w:b/>
        <w:sz w:val="24"/>
        <w:szCs w:val="24"/>
      </w:rPr>
    </w:pPr>
    <w:r w:rsidRPr="00AE0606">
      <w:rPr>
        <w:rFonts w:ascii="Verdana" w:hAnsi="Verdana"/>
        <w:b/>
        <w:sz w:val="24"/>
        <w:szCs w:val="24"/>
      </w:rPr>
      <w:t>Instituto de Previdência do Município de Votuporanga</w:t>
    </w:r>
  </w:p>
  <w:p w14:paraId="1A7DEA7A" w14:textId="77777777" w:rsidR="000F79D6" w:rsidRPr="00AE0606" w:rsidRDefault="000F79D6" w:rsidP="003A10B8">
    <w:pPr>
      <w:pStyle w:val="Rodap"/>
      <w:jc w:val="center"/>
      <w:rPr>
        <w:rFonts w:ascii="Verdana" w:hAnsi="Verdana" w:cstheme="minorHAnsi"/>
        <w:sz w:val="16"/>
        <w:szCs w:val="16"/>
      </w:rPr>
    </w:pPr>
    <w:r w:rsidRPr="00AE0606">
      <w:rPr>
        <w:rFonts w:ascii="Verdana" w:hAnsi="Verdana" w:cstheme="minorHAnsi"/>
        <w:sz w:val="16"/>
        <w:szCs w:val="16"/>
      </w:rPr>
      <w:t>Rua São Paulo, 3834 – Centro - Votuporanga/SP – CEP 15.500-010 - Fone: (17) 3421-6058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430EAD" w14:textId="77777777" w:rsidR="00E43F38" w:rsidRDefault="00E43F38" w:rsidP="009375C4">
      <w:pPr>
        <w:spacing w:line="240" w:lineRule="auto"/>
      </w:pPr>
      <w:r>
        <w:separator/>
      </w:r>
    </w:p>
  </w:footnote>
  <w:footnote w:type="continuationSeparator" w:id="0">
    <w:p w14:paraId="008C60EB" w14:textId="77777777" w:rsidR="00E43F38" w:rsidRDefault="00E43F38" w:rsidP="009375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D21203" w14:textId="77777777" w:rsidR="000F79D6" w:rsidRDefault="000F79D6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2D69364" wp14:editId="6CE13333">
          <wp:simplePos x="0" y="0"/>
          <wp:positionH relativeFrom="column">
            <wp:posOffset>4358640</wp:posOffset>
          </wp:positionH>
          <wp:positionV relativeFrom="paragraph">
            <wp:posOffset>-236220</wp:posOffset>
          </wp:positionV>
          <wp:extent cx="1895475" cy="647700"/>
          <wp:effectExtent l="0" t="0" r="9525" b="0"/>
          <wp:wrapSquare wrapText="bothSides"/>
          <wp:docPr id="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̃o_horizont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371" t="15626" r="9071" b="18749"/>
                  <a:stretch/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16761D7F" wp14:editId="4C564F40">
          <wp:simplePos x="0" y="0"/>
          <wp:positionH relativeFrom="column">
            <wp:posOffset>-1070610</wp:posOffset>
          </wp:positionH>
          <wp:positionV relativeFrom="paragraph">
            <wp:posOffset>-436245</wp:posOffset>
          </wp:positionV>
          <wp:extent cx="2333625" cy="771525"/>
          <wp:effectExtent l="19050" t="0" r="9525" b="0"/>
          <wp:wrapTopAndBottom/>
          <wp:docPr id="8" name="Imagem 8" descr="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 títul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336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F7002D"/>
    <w:multiLevelType w:val="hybridMultilevel"/>
    <w:tmpl w:val="B86455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02CD3"/>
    <w:multiLevelType w:val="multilevel"/>
    <w:tmpl w:val="EEF6EB10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2."/>
      <w:lvlJc w:val="left"/>
      <w:pPr>
        <w:ind w:left="360" w:hanging="360"/>
      </w:pPr>
      <w:rPr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A862FE9"/>
    <w:multiLevelType w:val="hybridMultilevel"/>
    <w:tmpl w:val="1F24F9EC"/>
    <w:lvl w:ilvl="0" w:tplc="0658CCB6">
      <w:start w:val="1"/>
      <w:numFmt w:val="decimal"/>
      <w:lvlText w:val="%1)"/>
      <w:lvlJc w:val="left"/>
      <w:pPr>
        <w:ind w:left="360" w:hanging="360"/>
      </w:pPr>
      <w:rPr>
        <w:rFonts w:eastAsia="Calibri" w:cs="Times New Roman"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9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30D7A"/>
    <w:multiLevelType w:val="hybridMultilevel"/>
    <w:tmpl w:val="F176ED1E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9"/>
  </w:num>
  <w:num w:numId="5">
    <w:abstractNumId w:val="4"/>
  </w:num>
  <w:num w:numId="6">
    <w:abstractNumId w:val="6"/>
  </w:num>
  <w:num w:numId="7">
    <w:abstractNumId w:val="3"/>
  </w:num>
  <w:num w:numId="8">
    <w:abstractNumId w:val="10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0CFD"/>
    <w:rsid w:val="0000235D"/>
    <w:rsid w:val="000038EF"/>
    <w:rsid w:val="00004777"/>
    <w:rsid w:val="00005398"/>
    <w:rsid w:val="000133A8"/>
    <w:rsid w:val="00016061"/>
    <w:rsid w:val="0001739C"/>
    <w:rsid w:val="00020D6F"/>
    <w:rsid w:val="00020F71"/>
    <w:rsid w:val="000327B4"/>
    <w:rsid w:val="000343E1"/>
    <w:rsid w:val="000375E4"/>
    <w:rsid w:val="000375FA"/>
    <w:rsid w:val="00037973"/>
    <w:rsid w:val="00040CB6"/>
    <w:rsid w:val="00041875"/>
    <w:rsid w:val="00044A50"/>
    <w:rsid w:val="00046906"/>
    <w:rsid w:val="000474AE"/>
    <w:rsid w:val="000517D1"/>
    <w:rsid w:val="00053B7F"/>
    <w:rsid w:val="000549F9"/>
    <w:rsid w:val="00061EBB"/>
    <w:rsid w:val="00062649"/>
    <w:rsid w:val="00062E1F"/>
    <w:rsid w:val="00065C90"/>
    <w:rsid w:val="000711CD"/>
    <w:rsid w:val="0007386E"/>
    <w:rsid w:val="00074061"/>
    <w:rsid w:val="00074279"/>
    <w:rsid w:val="00091414"/>
    <w:rsid w:val="000973EA"/>
    <w:rsid w:val="000A040A"/>
    <w:rsid w:val="000A0510"/>
    <w:rsid w:val="000A50FB"/>
    <w:rsid w:val="000A5A82"/>
    <w:rsid w:val="000A708E"/>
    <w:rsid w:val="000B566E"/>
    <w:rsid w:val="000B65A9"/>
    <w:rsid w:val="000C238A"/>
    <w:rsid w:val="000D0501"/>
    <w:rsid w:val="000D1375"/>
    <w:rsid w:val="000D2110"/>
    <w:rsid w:val="000D2DAD"/>
    <w:rsid w:val="000D32D7"/>
    <w:rsid w:val="000D5099"/>
    <w:rsid w:val="000D57CE"/>
    <w:rsid w:val="000D60B5"/>
    <w:rsid w:val="000D760D"/>
    <w:rsid w:val="000E60B4"/>
    <w:rsid w:val="000E7E1D"/>
    <w:rsid w:val="000F6256"/>
    <w:rsid w:val="000F6A3E"/>
    <w:rsid w:val="000F79D6"/>
    <w:rsid w:val="00104CDC"/>
    <w:rsid w:val="00106E55"/>
    <w:rsid w:val="00106EB7"/>
    <w:rsid w:val="0011110F"/>
    <w:rsid w:val="00117B9D"/>
    <w:rsid w:val="001347E8"/>
    <w:rsid w:val="00134A76"/>
    <w:rsid w:val="00137B82"/>
    <w:rsid w:val="00146014"/>
    <w:rsid w:val="0014636C"/>
    <w:rsid w:val="00147307"/>
    <w:rsid w:val="001516C0"/>
    <w:rsid w:val="00155962"/>
    <w:rsid w:val="0015712E"/>
    <w:rsid w:val="00161971"/>
    <w:rsid w:val="001630FC"/>
    <w:rsid w:val="00163A10"/>
    <w:rsid w:val="00164824"/>
    <w:rsid w:val="0016546B"/>
    <w:rsid w:val="0017139C"/>
    <w:rsid w:val="00171469"/>
    <w:rsid w:val="00171D76"/>
    <w:rsid w:val="00176F1B"/>
    <w:rsid w:val="00187143"/>
    <w:rsid w:val="001903B1"/>
    <w:rsid w:val="001A13E0"/>
    <w:rsid w:val="001A1AD3"/>
    <w:rsid w:val="001A4403"/>
    <w:rsid w:val="001A54D9"/>
    <w:rsid w:val="001B5A68"/>
    <w:rsid w:val="001C0E0D"/>
    <w:rsid w:val="001C2F5D"/>
    <w:rsid w:val="001C3AA7"/>
    <w:rsid w:val="001C5587"/>
    <w:rsid w:val="001C5D92"/>
    <w:rsid w:val="001D1DF1"/>
    <w:rsid w:val="001D67ED"/>
    <w:rsid w:val="001E1F2D"/>
    <w:rsid w:val="001E4C89"/>
    <w:rsid w:val="001E5CC8"/>
    <w:rsid w:val="001E5EFD"/>
    <w:rsid w:val="001E793E"/>
    <w:rsid w:val="001F40F5"/>
    <w:rsid w:val="001F48B3"/>
    <w:rsid w:val="00200C6C"/>
    <w:rsid w:val="002052BB"/>
    <w:rsid w:val="0020562E"/>
    <w:rsid w:val="002068C5"/>
    <w:rsid w:val="00206F03"/>
    <w:rsid w:val="00210B37"/>
    <w:rsid w:val="00211728"/>
    <w:rsid w:val="00211D64"/>
    <w:rsid w:val="00213910"/>
    <w:rsid w:val="00214B74"/>
    <w:rsid w:val="0022122D"/>
    <w:rsid w:val="0022533A"/>
    <w:rsid w:val="0023195F"/>
    <w:rsid w:val="00240051"/>
    <w:rsid w:val="0024267A"/>
    <w:rsid w:val="00247BE8"/>
    <w:rsid w:val="00247DC0"/>
    <w:rsid w:val="0025093D"/>
    <w:rsid w:val="00251D27"/>
    <w:rsid w:val="0025325E"/>
    <w:rsid w:val="00254AFD"/>
    <w:rsid w:val="00254B16"/>
    <w:rsid w:val="0025695E"/>
    <w:rsid w:val="002624D4"/>
    <w:rsid w:val="00262A17"/>
    <w:rsid w:val="00266401"/>
    <w:rsid w:val="00270F4B"/>
    <w:rsid w:val="002724D8"/>
    <w:rsid w:val="00273045"/>
    <w:rsid w:val="00273CF9"/>
    <w:rsid w:val="002740E8"/>
    <w:rsid w:val="00274802"/>
    <w:rsid w:val="00275AF9"/>
    <w:rsid w:val="00276608"/>
    <w:rsid w:val="002768FD"/>
    <w:rsid w:val="0028284B"/>
    <w:rsid w:val="002837AA"/>
    <w:rsid w:val="00285AA9"/>
    <w:rsid w:val="00285E5F"/>
    <w:rsid w:val="00286013"/>
    <w:rsid w:val="002870B3"/>
    <w:rsid w:val="002912FE"/>
    <w:rsid w:val="00291C9B"/>
    <w:rsid w:val="00296E36"/>
    <w:rsid w:val="002A191F"/>
    <w:rsid w:val="002B2417"/>
    <w:rsid w:val="002B3343"/>
    <w:rsid w:val="002C0399"/>
    <w:rsid w:val="002C7045"/>
    <w:rsid w:val="002C7BFD"/>
    <w:rsid w:val="002D149D"/>
    <w:rsid w:val="002D3AB9"/>
    <w:rsid w:val="002E0BB5"/>
    <w:rsid w:val="002E1943"/>
    <w:rsid w:val="002E544E"/>
    <w:rsid w:val="002F1CDF"/>
    <w:rsid w:val="0030202C"/>
    <w:rsid w:val="00302500"/>
    <w:rsid w:val="003147B0"/>
    <w:rsid w:val="00315831"/>
    <w:rsid w:val="00320AA0"/>
    <w:rsid w:val="00323FB4"/>
    <w:rsid w:val="003262CB"/>
    <w:rsid w:val="00327AFE"/>
    <w:rsid w:val="0034527E"/>
    <w:rsid w:val="00352285"/>
    <w:rsid w:val="00352DE2"/>
    <w:rsid w:val="0035528C"/>
    <w:rsid w:val="0036155A"/>
    <w:rsid w:val="00370B86"/>
    <w:rsid w:val="00371177"/>
    <w:rsid w:val="00371632"/>
    <w:rsid w:val="00371A9C"/>
    <w:rsid w:val="00372955"/>
    <w:rsid w:val="0037552A"/>
    <w:rsid w:val="003759FD"/>
    <w:rsid w:val="00377034"/>
    <w:rsid w:val="003816BE"/>
    <w:rsid w:val="003818F3"/>
    <w:rsid w:val="00382AEC"/>
    <w:rsid w:val="003914F1"/>
    <w:rsid w:val="003A10B8"/>
    <w:rsid w:val="003A3C75"/>
    <w:rsid w:val="003A7154"/>
    <w:rsid w:val="003B1056"/>
    <w:rsid w:val="003B1292"/>
    <w:rsid w:val="003B1918"/>
    <w:rsid w:val="003B1E86"/>
    <w:rsid w:val="003B3608"/>
    <w:rsid w:val="003B37FD"/>
    <w:rsid w:val="003B68AE"/>
    <w:rsid w:val="003C0384"/>
    <w:rsid w:val="003C184B"/>
    <w:rsid w:val="003C3F6E"/>
    <w:rsid w:val="003C43BA"/>
    <w:rsid w:val="003E2CF3"/>
    <w:rsid w:val="003E32DD"/>
    <w:rsid w:val="003E7955"/>
    <w:rsid w:val="003F7565"/>
    <w:rsid w:val="004031B6"/>
    <w:rsid w:val="00405600"/>
    <w:rsid w:val="0040642C"/>
    <w:rsid w:val="00407F38"/>
    <w:rsid w:val="00410211"/>
    <w:rsid w:val="0041392C"/>
    <w:rsid w:val="00420AF7"/>
    <w:rsid w:val="0042192A"/>
    <w:rsid w:val="00423EAA"/>
    <w:rsid w:val="00424B63"/>
    <w:rsid w:val="004251A3"/>
    <w:rsid w:val="00427CD6"/>
    <w:rsid w:val="00433496"/>
    <w:rsid w:val="00434D19"/>
    <w:rsid w:val="00434F2F"/>
    <w:rsid w:val="004407BE"/>
    <w:rsid w:val="004422D3"/>
    <w:rsid w:val="00452680"/>
    <w:rsid w:val="004602D7"/>
    <w:rsid w:val="004636B9"/>
    <w:rsid w:val="004644F2"/>
    <w:rsid w:val="00476723"/>
    <w:rsid w:val="00481752"/>
    <w:rsid w:val="00484F0C"/>
    <w:rsid w:val="004853BC"/>
    <w:rsid w:val="00487875"/>
    <w:rsid w:val="004940E2"/>
    <w:rsid w:val="004971F9"/>
    <w:rsid w:val="004A1754"/>
    <w:rsid w:val="004A2E50"/>
    <w:rsid w:val="004A3E6B"/>
    <w:rsid w:val="004A3F6B"/>
    <w:rsid w:val="004A5CC2"/>
    <w:rsid w:val="004A7DF7"/>
    <w:rsid w:val="004B1351"/>
    <w:rsid w:val="004B437D"/>
    <w:rsid w:val="004B5E19"/>
    <w:rsid w:val="004B75D3"/>
    <w:rsid w:val="004C7A4D"/>
    <w:rsid w:val="004D1A6C"/>
    <w:rsid w:val="004D46B9"/>
    <w:rsid w:val="004E1F58"/>
    <w:rsid w:val="004E2C69"/>
    <w:rsid w:val="004E3620"/>
    <w:rsid w:val="004E66CD"/>
    <w:rsid w:val="004E6E8B"/>
    <w:rsid w:val="004F3549"/>
    <w:rsid w:val="004F50E1"/>
    <w:rsid w:val="004F5CB0"/>
    <w:rsid w:val="004F5D0D"/>
    <w:rsid w:val="0050175C"/>
    <w:rsid w:val="0050369B"/>
    <w:rsid w:val="00506D86"/>
    <w:rsid w:val="00514F11"/>
    <w:rsid w:val="00516448"/>
    <w:rsid w:val="00516BA4"/>
    <w:rsid w:val="00523D2A"/>
    <w:rsid w:val="00531154"/>
    <w:rsid w:val="005319F4"/>
    <w:rsid w:val="00532EB4"/>
    <w:rsid w:val="005340A3"/>
    <w:rsid w:val="005345EC"/>
    <w:rsid w:val="00534785"/>
    <w:rsid w:val="00536783"/>
    <w:rsid w:val="00536D8B"/>
    <w:rsid w:val="0054251E"/>
    <w:rsid w:val="00552684"/>
    <w:rsid w:val="00553822"/>
    <w:rsid w:val="00556AC1"/>
    <w:rsid w:val="005575D5"/>
    <w:rsid w:val="00565628"/>
    <w:rsid w:val="005759F1"/>
    <w:rsid w:val="00580586"/>
    <w:rsid w:val="00582033"/>
    <w:rsid w:val="005855C0"/>
    <w:rsid w:val="005861DC"/>
    <w:rsid w:val="00594E58"/>
    <w:rsid w:val="00595D9D"/>
    <w:rsid w:val="00595DCF"/>
    <w:rsid w:val="00597AC5"/>
    <w:rsid w:val="005A0E7E"/>
    <w:rsid w:val="005A12E2"/>
    <w:rsid w:val="005B02E1"/>
    <w:rsid w:val="005B0BA1"/>
    <w:rsid w:val="005C1ED1"/>
    <w:rsid w:val="005C35C4"/>
    <w:rsid w:val="005C450B"/>
    <w:rsid w:val="005C4C40"/>
    <w:rsid w:val="005C76FE"/>
    <w:rsid w:val="005D12E9"/>
    <w:rsid w:val="005D1F32"/>
    <w:rsid w:val="005D2B9E"/>
    <w:rsid w:val="005D3324"/>
    <w:rsid w:val="005D5D04"/>
    <w:rsid w:val="005E5499"/>
    <w:rsid w:val="005F094D"/>
    <w:rsid w:val="005F5B9D"/>
    <w:rsid w:val="00600182"/>
    <w:rsid w:val="0060055A"/>
    <w:rsid w:val="00600B44"/>
    <w:rsid w:val="00601A35"/>
    <w:rsid w:val="00601E40"/>
    <w:rsid w:val="006028F8"/>
    <w:rsid w:val="006061BE"/>
    <w:rsid w:val="00610BF1"/>
    <w:rsid w:val="00615973"/>
    <w:rsid w:val="00622C2E"/>
    <w:rsid w:val="006277AD"/>
    <w:rsid w:val="0063284F"/>
    <w:rsid w:val="00633E8E"/>
    <w:rsid w:val="00634BF0"/>
    <w:rsid w:val="00635019"/>
    <w:rsid w:val="006366CD"/>
    <w:rsid w:val="00637E5C"/>
    <w:rsid w:val="006428DF"/>
    <w:rsid w:val="006436D7"/>
    <w:rsid w:val="00650529"/>
    <w:rsid w:val="00650A1B"/>
    <w:rsid w:val="006517FC"/>
    <w:rsid w:val="00655D35"/>
    <w:rsid w:val="00657DE9"/>
    <w:rsid w:val="00664F78"/>
    <w:rsid w:val="00666CDA"/>
    <w:rsid w:val="00667C6F"/>
    <w:rsid w:val="00667ED0"/>
    <w:rsid w:val="00672140"/>
    <w:rsid w:val="0067293F"/>
    <w:rsid w:val="00674B70"/>
    <w:rsid w:val="00677269"/>
    <w:rsid w:val="00677E0F"/>
    <w:rsid w:val="00692575"/>
    <w:rsid w:val="00693930"/>
    <w:rsid w:val="00693C2E"/>
    <w:rsid w:val="00695910"/>
    <w:rsid w:val="006A0885"/>
    <w:rsid w:val="006A10F8"/>
    <w:rsid w:val="006A1A8B"/>
    <w:rsid w:val="006A215E"/>
    <w:rsid w:val="006A6410"/>
    <w:rsid w:val="006B15BF"/>
    <w:rsid w:val="006B34C5"/>
    <w:rsid w:val="006B40E5"/>
    <w:rsid w:val="006B4515"/>
    <w:rsid w:val="006B6BBF"/>
    <w:rsid w:val="006C10BF"/>
    <w:rsid w:val="006C1978"/>
    <w:rsid w:val="006C4DE6"/>
    <w:rsid w:val="006C5706"/>
    <w:rsid w:val="006C5E61"/>
    <w:rsid w:val="006C7BCD"/>
    <w:rsid w:val="006D1CBE"/>
    <w:rsid w:val="006D39EE"/>
    <w:rsid w:val="006D5526"/>
    <w:rsid w:val="006D7B84"/>
    <w:rsid w:val="006E117B"/>
    <w:rsid w:val="006E341E"/>
    <w:rsid w:val="006E65E1"/>
    <w:rsid w:val="006F1442"/>
    <w:rsid w:val="007031D3"/>
    <w:rsid w:val="0070375C"/>
    <w:rsid w:val="00704FC5"/>
    <w:rsid w:val="0071325E"/>
    <w:rsid w:val="00713B8A"/>
    <w:rsid w:val="00714264"/>
    <w:rsid w:val="00714F26"/>
    <w:rsid w:val="00720927"/>
    <w:rsid w:val="00721A39"/>
    <w:rsid w:val="00722C5B"/>
    <w:rsid w:val="00722E42"/>
    <w:rsid w:val="00723811"/>
    <w:rsid w:val="007271A8"/>
    <w:rsid w:val="00730FC2"/>
    <w:rsid w:val="00731834"/>
    <w:rsid w:val="00733354"/>
    <w:rsid w:val="00733C60"/>
    <w:rsid w:val="007374C0"/>
    <w:rsid w:val="007432AB"/>
    <w:rsid w:val="00744B1E"/>
    <w:rsid w:val="00760C37"/>
    <w:rsid w:val="00761154"/>
    <w:rsid w:val="00763F00"/>
    <w:rsid w:val="00764D72"/>
    <w:rsid w:val="00765FF3"/>
    <w:rsid w:val="007662A6"/>
    <w:rsid w:val="00771CB1"/>
    <w:rsid w:val="00782A3A"/>
    <w:rsid w:val="007843A0"/>
    <w:rsid w:val="00786CB7"/>
    <w:rsid w:val="00791B53"/>
    <w:rsid w:val="00792713"/>
    <w:rsid w:val="00793CE3"/>
    <w:rsid w:val="00794D38"/>
    <w:rsid w:val="00795021"/>
    <w:rsid w:val="007A47AE"/>
    <w:rsid w:val="007B1981"/>
    <w:rsid w:val="007B25D6"/>
    <w:rsid w:val="007B365B"/>
    <w:rsid w:val="007B3761"/>
    <w:rsid w:val="007C1FD1"/>
    <w:rsid w:val="007C23C7"/>
    <w:rsid w:val="007C359E"/>
    <w:rsid w:val="007E14EB"/>
    <w:rsid w:val="007E2A84"/>
    <w:rsid w:val="007E3313"/>
    <w:rsid w:val="007E3A60"/>
    <w:rsid w:val="007E7B6C"/>
    <w:rsid w:val="007F0A01"/>
    <w:rsid w:val="007F114F"/>
    <w:rsid w:val="00801064"/>
    <w:rsid w:val="00801388"/>
    <w:rsid w:val="00805C71"/>
    <w:rsid w:val="008074AE"/>
    <w:rsid w:val="008107CC"/>
    <w:rsid w:val="00810B1A"/>
    <w:rsid w:val="00812327"/>
    <w:rsid w:val="00815850"/>
    <w:rsid w:val="00816CBA"/>
    <w:rsid w:val="00821757"/>
    <w:rsid w:val="008303A1"/>
    <w:rsid w:val="00830710"/>
    <w:rsid w:val="0083296A"/>
    <w:rsid w:val="00842CC5"/>
    <w:rsid w:val="00844DFC"/>
    <w:rsid w:val="00850D61"/>
    <w:rsid w:val="00856158"/>
    <w:rsid w:val="00861938"/>
    <w:rsid w:val="008622EE"/>
    <w:rsid w:val="00865963"/>
    <w:rsid w:val="008674DE"/>
    <w:rsid w:val="00871249"/>
    <w:rsid w:val="00871469"/>
    <w:rsid w:val="00874281"/>
    <w:rsid w:val="00875280"/>
    <w:rsid w:val="0088008E"/>
    <w:rsid w:val="00884B59"/>
    <w:rsid w:val="00886EE7"/>
    <w:rsid w:val="00893D8F"/>
    <w:rsid w:val="008A3A81"/>
    <w:rsid w:val="008A7CAD"/>
    <w:rsid w:val="008B13CC"/>
    <w:rsid w:val="008B7204"/>
    <w:rsid w:val="008C040B"/>
    <w:rsid w:val="008C1848"/>
    <w:rsid w:val="008C2238"/>
    <w:rsid w:val="008D1FB0"/>
    <w:rsid w:val="008E3E74"/>
    <w:rsid w:val="008F4979"/>
    <w:rsid w:val="008F59D9"/>
    <w:rsid w:val="008F739B"/>
    <w:rsid w:val="008F7A94"/>
    <w:rsid w:val="009110CD"/>
    <w:rsid w:val="009122AC"/>
    <w:rsid w:val="00913DB3"/>
    <w:rsid w:val="00916508"/>
    <w:rsid w:val="009202CB"/>
    <w:rsid w:val="00926682"/>
    <w:rsid w:val="00926F59"/>
    <w:rsid w:val="0093283A"/>
    <w:rsid w:val="00936AB8"/>
    <w:rsid w:val="009375C4"/>
    <w:rsid w:val="00940456"/>
    <w:rsid w:val="009430A1"/>
    <w:rsid w:val="0094510A"/>
    <w:rsid w:val="00950E30"/>
    <w:rsid w:val="009520C7"/>
    <w:rsid w:val="00953126"/>
    <w:rsid w:val="009534F9"/>
    <w:rsid w:val="0095399B"/>
    <w:rsid w:val="00954801"/>
    <w:rsid w:val="0096045F"/>
    <w:rsid w:val="009625D1"/>
    <w:rsid w:val="0096444B"/>
    <w:rsid w:val="00972A2F"/>
    <w:rsid w:val="0097665A"/>
    <w:rsid w:val="00976FC2"/>
    <w:rsid w:val="00981EE2"/>
    <w:rsid w:val="009822AC"/>
    <w:rsid w:val="009827B3"/>
    <w:rsid w:val="00984EF1"/>
    <w:rsid w:val="009863B5"/>
    <w:rsid w:val="00993D60"/>
    <w:rsid w:val="00996525"/>
    <w:rsid w:val="009A1541"/>
    <w:rsid w:val="009B43E3"/>
    <w:rsid w:val="009B5CC8"/>
    <w:rsid w:val="009B6144"/>
    <w:rsid w:val="009C17B7"/>
    <w:rsid w:val="009C71E4"/>
    <w:rsid w:val="009E170A"/>
    <w:rsid w:val="009F13B0"/>
    <w:rsid w:val="009F337B"/>
    <w:rsid w:val="009F3FAD"/>
    <w:rsid w:val="009F6974"/>
    <w:rsid w:val="009F732A"/>
    <w:rsid w:val="00A01801"/>
    <w:rsid w:val="00A03A35"/>
    <w:rsid w:val="00A07AEC"/>
    <w:rsid w:val="00A13D35"/>
    <w:rsid w:val="00A204EE"/>
    <w:rsid w:val="00A2117D"/>
    <w:rsid w:val="00A25947"/>
    <w:rsid w:val="00A273FC"/>
    <w:rsid w:val="00A33BA4"/>
    <w:rsid w:val="00A37D16"/>
    <w:rsid w:val="00A46E96"/>
    <w:rsid w:val="00A47978"/>
    <w:rsid w:val="00A562AE"/>
    <w:rsid w:val="00A577A0"/>
    <w:rsid w:val="00A6051A"/>
    <w:rsid w:val="00A60E8D"/>
    <w:rsid w:val="00A6501E"/>
    <w:rsid w:val="00A713AD"/>
    <w:rsid w:val="00A71476"/>
    <w:rsid w:val="00A730F1"/>
    <w:rsid w:val="00A8385C"/>
    <w:rsid w:val="00A840CD"/>
    <w:rsid w:val="00A85065"/>
    <w:rsid w:val="00A8550A"/>
    <w:rsid w:val="00A86265"/>
    <w:rsid w:val="00A8714A"/>
    <w:rsid w:val="00A874D0"/>
    <w:rsid w:val="00A87721"/>
    <w:rsid w:val="00A9504D"/>
    <w:rsid w:val="00A95EE3"/>
    <w:rsid w:val="00A96E17"/>
    <w:rsid w:val="00AA0CAF"/>
    <w:rsid w:val="00AA1861"/>
    <w:rsid w:val="00AA198D"/>
    <w:rsid w:val="00AB0224"/>
    <w:rsid w:val="00AB1E91"/>
    <w:rsid w:val="00AB3C67"/>
    <w:rsid w:val="00AC0CFD"/>
    <w:rsid w:val="00AC27B4"/>
    <w:rsid w:val="00AC4677"/>
    <w:rsid w:val="00AD1E21"/>
    <w:rsid w:val="00AD3F97"/>
    <w:rsid w:val="00AD5436"/>
    <w:rsid w:val="00AD75E2"/>
    <w:rsid w:val="00AE0606"/>
    <w:rsid w:val="00AE2A53"/>
    <w:rsid w:val="00AE3A7F"/>
    <w:rsid w:val="00AE4FEA"/>
    <w:rsid w:val="00AE55FA"/>
    <w:rsid w:val="00AE68B9"/>
    <w:rsid w:val="00AE73BD"/>
    <w:rsid w:val="00AF26FA"/>
    <w:rsid w:val="00AF2714"/>
    <w:rsid w:val="00AF6219"/>
    <w:rsid w:val="00B01130"/>
    <w:rsid w:val="00B016BC"/>
    <w:rsid w:val="00B02A12"/>
    <w:rsid w:val="00B20525"/>
    <w:rsid w:val="00B27946"/>
    <w:rsid w:val="00B30B3A"/>
    <w:rsid w:val="00B3130B"/>
    <w:rsid w:val="00B35F4D"/>
    <w:rsid w:val="00B366A0"/>
    <w:rsid w:val="00B3736F"/>
    <w:rsid w:val="00B45D41"/>
    <w:rsid w:val="00B50A47"/>
    <w:rsid w:val="00B54A31"/>
    <w:rsid w:val="00B605DC"/>
    <w:rsid w:val="00B61661"/>
    <w:rsid w:val="00B63F86"/>
    <w:rsid w:val="00B67647"/>
    <w:rsid w:val="00B7256F"/>
    <w:rsid w:val="00B7538A"/>
    <w:rsid w:val="00B83FC5"/>
    <w:rsid w:val="00B85695"/>
    <w:rsid w:val="00B87256"/>
    <w:rsid w:val="00B87BA4"/>
    <w:rsid w:val="00B923E0"/>
    <w:rsid w:val="00BA1F99"/>
    <w:rsid w:val="00BA4BDF"/>
    <w:rsid w:val="00BB0725"/>
    <w:rsid w:val="00BB3C52"/>
    <w:rsid w:val="00BB3D55"/>
    <w:rsid w:val="00BB7450"/>
    <w:rsid w:val="00BB7E64"/>
    <w:rsid w:val="00BC041A"/>
    <w:rsid w:val="00BC411C"/>
    <w:rsid w:val="00BC631E"/>
    <w:rsid w:val="00BD0963"/>
    <w:rsid w:val="00BD51CF"/>
    <w:rsid w:val="00BE0973"/>
    <w:rsid w:val="00BE56D6"/>
    <w:rsid w:val="00BF26CA"/>
    <w:rsid w:val="00BF2A0F"/>
    <w:rsid w:val="00BF3EF1"/>
    <w:rsid w:val="00BF53C2"/>
    <w:rsid w:val="00BF78FB"/>
    <w:rsid w:val="00C002F2"/>
    <w:rsid w:val="00C010A5"/>
    <w:rsid w:val="00C02784"/>
    <w:rsid w:val="00C028E7"/>
    <w:rsid w:val="00C02AA7"/>
    <w:rsid w:val="00C06832"/>
    <w:rsid w:val="00C07CB2"/>
    <w:rsid w:val="00C10F73"/>
    <w:rsid w:val="00C17A88"/>
    <w:rsid w:val="00C30859"/>
    <w:rsid w:val="00C31E97"/>
    <w:rsid w:val="00C33224"/>
    <w:rsid w:val="00C35B2E"/>
    <w:rsid w:val="00C3650F"/>
    <w:rsid w:val="00C41576"/>
    <w:rsid w:val="00C4541E"/>
    <w:rsid w:val="00C471E7"/>
    <w:rsid w:val="00C51526"/>
    <w:rsid w:val="00C53349"/>
    <w:rsid w:val="00C53E5C"/>
    <w:rsid w:val="00C56C07"/>
    <w:rsid w:val="00C6223D"/>
    <w:rsid w:val="00C623B9"/>
    <w:rsid w:val="00C62542"/>
    <w:rsid w:val="00C62A5D"/>
    <w:rsid w:val="00C63BCF"/>
    <w:rsid w:val="00C65D48"/>
    <w:rsid w:val="00C70967"/>
    <w:rsid w:val="00C74A6B"/>
    <w:rsid w:val="00C7544E"/>
    <w:rsid w:val="00C76592"/>
    <w:rsid w:val="00C803FF"/>
    <w:rsid w:val="00C80E72"/>
    <w:rsid w:val="00C833C8"/>
    <w:rsid w:val="00C838FA"/>
    <w:rsid w:val="00C85FD3"/>
    <w:rsid w:val="00C862EB"/>
    <w:rsid w:val="00C9178E"/>
    <w:rsid w:val="00C94CDD"/>
    <w:rsid w:val="00C97A0D"/>
    <w:rsid w:val="00CA1AEF"/>
    <w:rsid w:val="00CA3F7E"/>
    <w:rsid w:val="00CA445D"/>
    <w:rsid w:val="00CB3005"/>
    <w:rsid w:val="00CB3445"/>
    <w:rsid w:val="00CC62C9"/>
    <w:rsid w:val="00CD02CA"/>
    <w:rsid w:val="00CD08DD"/>
    <w:rsid w:val="00CD617D"/>
    <w:rsid w:val="00CD72C9"/>
    <w:rsid w:val="00CE09B2"/>
    <w:rsid w:val="00CE2511"/>
    <w:rsid w:val="00CE5827"/>
    <w:rsid w:val="00CF279F"/>
    <w:rsid w:val="00CF2F90"/>
    <w:rsid w:val="00CF43D5"/>
    <w:rsid w:val="00D03ADF"/>
    <w:rsid w:val="00D0460A"/>
    <w:rsid w:val="00D07741"/>
    <w:rsid w:val="00D07A86"/>
    <w:rsid w:val="00D11D9A"/>
    <w:rsid w:val="00D13FF0"/>
    <w:rsid w:val="00D16E23"/>
    <w:rsid w:val="00D2127A"/>
    <w:rsid w:val="00D22E8A"/>
    <w:rsid w:val="00D249AE"/>
    <w:rsid w:val="00D26343"/>
    <w:rsid w:val="00D2634B"/>
    <w:rsid w:val="00D30075"/>
    <w:rsid w:val="00D40408"/>
    <w:rsid w:val="00D46EAA"/>
    <w:rsid w:val="00D5349B"/>
    <w:rsid w:val="00D56685"/>
    <w:rsid w:val="00D56A27"/>
    <w:rsid w:val="00D659F9"/>
    <w:rsid w:val="00D67CB1"/>
    <w:rsid w:val="00D731D1"/>
    <w:rsid w:val="00D75086"/>
    <w:rsid w:val="00D76541"/>
    <w:rsid w:val="00D87A41"/>
    <w:rsid w:val="00D90BC6"/>
    <w:rsid w:val="00D91C19"/>
    <w:rsid w:val="00D93DDE"/>
    <w:rsid w:val="00D945F3"/>
    <w:rsid w:val="00D94A7A"/>
    <w:rsid w:val="00DA1C60"/>
    <w:rsid w:val="00DA73B3"/>
    <w:rsid w:val="00DB0A64"/>
    <w:rsid w:val="00DB1109"/>
    <w:rsid w:val="00DB136F"/>
    <w:rsid w:val="00DC1F2D"/>
    <w:rsid w:val="00DC36EA"/>
    <w:rsid w:val="00DC3BE9"/>
    <w:rsid w:val="00DC47E5"/>
    <w:rsid w:val="00DC7945"/>
    <w:rsid w:val="00DD1773"/>
    <w:rsid w:val="00DD243E"/>
    <w:rsid w:val="00DD4DE3"/>
    <w:rsid w:val="00DD5252"/>
    <w:rsid w:val="00DD5609"/>
    <w:rsid w:val="00DD7D43"/>
    <w:rsid w:val="00DE17F1"/>
    <w:rsid w:val="00DE3936"/>
    <w:rsid w:val="00DE67DE"/>
    <w:rsid w:val="00DE6F78"/>
    <w:rsid w:val="00DF15CD"/>
    <w:rsid w:val="00DF2209"/>
    <w:rsid w:val="00DF3D9A"/>
    <w:rsid w:val="00E0525B"/>
    <w:rsid w:val="00E0668A"/>
    <w:rsid w:val="00E07F74"/>
    <w:rsid w:val="00E10EC5"/>
    <w:rsid w:val="00E122AB"/>
    <w:rsid w:val="00E1320A"/>
    <w:rsid w:val="00E14875"/>
    <w:rsid w:val="00E14B1B"/>
    <w:rsid w:val="00E1511F"/>
    <w:rsid w:val="00E16A00"/>
    <w:rsid w:val="00E3083F"/>
    <w:rsid w:val="00E35BA4"/>
    <w:rsid w:val="00E37445"/>
    <w:rsid w:val="00E376B7"/>
    <w:rsid w:val="00E43F38"/>
    <w:rsid w:val="00E44965"/>
    <w:rsid w:val="00E464ED"/>
    <w:rsid w:val="00E47F49"/>
    <w:rsid w:val="00E51881"/>
    <w:rsid w:val="00E606D8"/>
    <w:rsid w:val="00E616F4"/>
    <w:rsid w:val="00E70AC9"/>
    <w:rsid w:val="00E727AB"/>
    <w:rsid w:val="00E8001D"/>
    <w:rsid w:val="00E80592"/>
    <w:rsid w:val="00E807A6"/>
    <w:rsid w:val="00E80D78"/>
    <w:rsid w:val="00E851DE"/>
    <w:rsid w:val="00E87F27"/>
    <w:rsid w:val="00E92E31"/>
    <w:rsid w:val="00E9348C"/>
    <w:rsid w:val="00EA286F"/>
    <w:rsid w:val="00EA6041"/>
    <w:rsid w:val="00EA6B5A"/>
    <w:rsid w:val="00EC2CBB"/>
    <w:rsid w:val="00EC3092"/>
    <w:rsid w:val="00EC3593"/>
    <w:rsid w:val="00EC388A"/>
    <w:rsid w:val="00EC539A"/>
    <w:rsid w:val="00EC62C9"/>
    <w:rsid w:val="00EC6701"/>
    <w:rsid w:val="00EC7541"/>
    <w:rsid w:val="00EC7995"/>
    <w:rsid w:val="00ED007A"/>
    <w:rsid w:val="00ED0E65"/>
    <w:rsid w:val="00ED64AB"/>
    <w:rsid w:val="00ED792F"/>
    <w:rsid w:val="00ED7BD0"/>
    <w:rsid w:val="00EE2481"/>
    <w:rsid w:val="00EE657E"/>
    <w:rsid w:val="00EF3BEB"/>
    <w:rsid w:val="00EF5962"/>
    <w:rsid w:val="00F023E1"/>
    <w:rsid w:val="00F05CD7"/>
    <w:rsid w:val="00F06085"/>
    <w:rsid w:val="00F1295B"/>
    <w:rsid w:val="00F14B85"/>
    <w:rsid w:val="00F16B91"/>
    <w:rsid w:val="00F16FBE"/>
    <w:rsid w:val="00F17C07"/>
    <w:rsid w:val="00F214D2"/>
    <w:rsid w:val="00F21AD6"/>
    <w:rsid w:val="00F245C2"/>
    <w:rsid w:val="00F3032F"/>
    <w:rsid w:val="00F3236B"/>
    <w:rsid w:val="00F33E3C"/>
    <w:rsid w:val="00F370C5"/>
    <w:rsid w:val="00F40004"/>
    <w:rsid w:val="00F407B9"/>
    <w:rsid w:val="00F46170"/>
    <w:rsid w:val="00F46C4A"/>
    <w:rsid w:val="00F569C9"/>
    <w:rsid w:val="00F57257"/>
    <w:rsid w:val="00F64EAC"/>
    <w:rsid w:val="00F6533A"/>
    <w:rsid w:val="00F66811"/>
    <w:rsid w:val="00F70C22"/>
    <w:rsid w:val="00F751AE"/>
    <w:rsid w:val="00F7560E"/>
    <w:rsid w:val="00F818E4"/>
    <w:rsid w:val="00F85522"/>
    <w:rsid w:val="00F87FCD"/>
    <w:rsid w:val="00F93594"/>
    <w:rsid w:val="00F9418B"/>
    <w:rsid w:val="00F9563A"/>
    <w:rsid w:val="00F96BE2"/>
    <w:rsid w:val="00FA1BEF"/>
    <w:rsid w:val="00FA500B"/>
    <w:rsid w:val="00FA5970"/>
    <w:rsid w:val="00FA74BD"/>
    <w:rsid w:val="00FB00B8"/>
    <w:rsid w:val="00FB1994"/>
    <w:rsid w:val="00FB61BA"/>
    <w:rsid w:val="00FB6F04"/>
    <w:rsid w:val="00FC0231"/>
    <w:rsid w:val="00FC3078"/>
    <w:rsid w:val="00FC4710"/>
    <w:rsid w:val="00FC6BEF"/>
    <w:rsid w:val="00FC7667"/>
    <w:rsid w:val="00FE39B6"/>
    <w:rsid w:val="00FE3D1E"/>
    <w:rsid w:val="00FE4175"/>
    <w:rsid w:val="00FE4CA0"/>
    <w:rsid w:val="00FE5B05"/>
    <w:rsid w:val="00FF0287"/>
    <w:rsid w:val="00FF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7"/>
    <o:shapelayout v:ext="edit">
      <o:idmap v:ext="edit" data="1"/>
    </o:shapelayout>
  </w:shapeDefaults>
  <w:decimalSymbol w:val=","/>
  <w:listSeparator w:val=";"/>
  <w14:docId w14:val="636A119E"/>
  <w15:docId w15:val="{375C14C5-47F2-4B17-AAEC-392EA658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line="360" w:lineRule="auto"/>
      <w:ind w:firstLine="3685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line="240" w:lineRule="auto"/>
      <w:ind w:firstLine="4253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67CB1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5B0BA1"/>
    <w:pPr>
      <w:suppressAutoHyphens/>
      <w:autoSpaceDN w:val="0"/>
      <w:spacing w:before="120" w:after="120" w:line="240" w:lineRule="auto"/>
      <w:ind w:firstLine="567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/>
    </w:rPr>
  </w:style>
  <w:style w:type="table" w:customStyle="1" w:styleId="Tabelacomgrade3">
    <w:name w:val="Tabela com grade3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F6681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681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6028F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7E14EB"/>
    <w:pPr>
      <w:widowControl w:val="0"/>
      <w:autoSpaceDE w:val="0"/>
      <w:autoSpaceDN w:val="0"/>
      <w:spacing w:line="240" w:lineRule="auto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E14EB"/>
    <w:pPr>
      <w:widowControl w:val="0"/>
      <w:autoSpaceDE w:val="0"/>
      <w:autoSpaceDN w:val="0"/>
      <w:spacing w:before="34" w:line="240" w:lineRule="auto"/>
      <w:jc w:val="center"/>
    </w:pPr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9738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8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5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A97FA1-3450-489C-A743-2B3B83992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</Template>
  <TotalTime>7539</TotalTime>
  <Pages>2</Pages>
  <Words>710</Words>
  <Characters>3836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4537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adautomariola</dc:creator>
  <cp:keywords/>
  <dc:description/>
  <cp:lastModifiedBy>adautomariola</cp:lastModifiedBy>
  <cp:revision>56</cp:revision>
  <cp:lastPrinted>2020-08-19T19:21:00Z</cp:lastPrinted>
  <dcterms:created xsi:type="dcterms:W3CDTF">2017-08-11T10:28:00Z</dcterms:created>
  <dcterms:modified xsi:type="dcterms:W3CDTF">2020-09-23T16:28:00Z</dcterms:modified>
</cp:coreProperties>
</file>