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293E51" w14:textId="77777777" w:rsidR="00D67CB1" w:rsidRPr="00D67CB1" w:rsidRDefault="00D67CB1" w:rsidP="00D67CB1">
      <w:pPr>
        <w:autoSpaceDE w:val="0"/>
        <w:autoSpaceDN w:val="0"/>
        <w:adjustRightInd w:val="0"/>
        <w:jc w:val="center"/>
        <w:rPr>
          <w:rFonts w:ascii="Century Gothic" w:hAnsi="Century Gothic" w:cs="Arial Black"/>
          <w:b/>
          <w:bCs/>
        </w:rPr>
      </w:pPr>
      <w:bookmarkStart w:id="0" w:name="_Hlk536717685"/>
      <w:r w:rsidRPr="00D67CB1">
        <w:rPr>
          <w:rFonts w:ascii="Century Gothic" w:hAnsi="Century Gothic" w:cs="Arial Black"/>
          <w:b/>
          <w:bCs/>
        </w:rPr>
        <w:t>INSTITUTO DE PREVIDÊNCIA DO MUNICÍPIO DE VOTUPORANGA</w:t>
      </w:r>
    </w:p>
    <w:p w14:paraId="58488117" w14:textId="77777777" w:rsidR="00D67CB1" w:rsidRDefault="00D67CB1" w:rsidP="00D67CB1">
      <w:pPr>
        <w:autoSpaceDE w:val="0"/>
        <w:autoSpaceDN w:val="0"/>
        <w:adjustRightInd w:val="0"/>
        <w:jc w:val="center"/>
        <w:rPr>
          <w:rFonts w:ascii="Century Gothic" w:hAnsi="Century Gothic" w:cs="Arial Black"/>
          <w:b/>
          <w:bCs/>
        </w:rPr>
      </w:pPr>
      <w:r w:rsidRPr="00D67CB1">
        <w:rPr>
          <w:rFonts w:ascii="Century Gothic" w:hAnsi="Century Gothic" w:cs="Arial Black"/>
          <w:b/>
          <w:bCs/>
        </w:rPr>
        <w:t>COMITÊ DE INVESTIMENTOS</w:t>
      </w:r>
    </w:p>
    <w:p w14:paraId="708D3D1F" w14:textId="77777777" w:rsidR="00EF3BEB" w:rsidRDefault="00EF3BEB" w:rsidP="00D67CB1">
      <w:pPr>
        <w:autoSpaceDE w:val="0"/>
        <w:autoSpaceDN w:val="0"/>
        <w:adjustRightInd w:val="0"/>
        <w:jc w:val="center"/>
        <w:rPr>
          <w:rFonts w:ascii="Century Gothic" w:hAnsi="Century Gothic" w:cs="Arial Black"/>
          <w:b/>
          <w:bCs/>
        </w:rPr>
      </w:pPr>
    </w:p>
    <w:p w14:paraId="756ED26F" w14:textId="560ABE8F" w:rsidR="00D56685" w:rsidRDefault="001D67ED" w:rsidP="005855C0">
      <w:pPr>
        <w:tabs>
          <w:tab w:val="left" w:pos="8364"/>
        </w:tabs>
        <w:autoSpaceDE w:val="0"/>
        <w:autoSpaceDN w:val="0"/>
        <w:adjustRightInd w:val="0"/>
        <w:spacing w:line="240" w:lineRule="auto"/>
        <w:rPr>
          <w:rFonts w:ascii="Century Gothic" w:hAnsi="Century Gothic" w:cs="Arial"/>
        </w:rPr>
      </w:pPr>
      <w:r w:rsidRPr="00996525">
        <w:rPr>
          <w:rFonts w:ascii="Century Gothic" w:hAnsi="Century Gothic" w:cs="Arial"/>
          <w:b/>
        </w:rPr>
        <w:t xml:space="preserve">Ata n° </w:t>
      </w:r>
      <w:r w:rsidR="004A5CC2">
        <w:rPr>
          <w:rFonts w:ascii="Century Gothic" w:hAnsi="Century Gothic" w:cs="Arial"/>
          <w:b/>
        </w:rPr>
        <w:t>9</w:t>
      </w:r>
      <w:r w:rsidR="00C24FEE">
        <w:rPr>
          <w:rFonts w:ascii="Century Gothic" w:hAnsi="Century Gothic" w:cs="Arial"/>
          <w:b/>
        </w:rPr>
        <w:t>6</w:t>
      </w:r>
      <w:r w:rsidRPr="00996525">
        <w:rPr>
          <w:rFonts w:ascii="Century Gothic" w:hAnsi="Century Gothic" w:cs="Arial"/>
          <w:b/>
        </w:rPr>
        <w:t>ª/20</w:t>
      </w:r>
      <w:r w:rsidR="000517D1">
        <w:rPr>
          <w:rFonts w:ascii="Century Gothic" w:hAnsi="Century Gothic" w:cs="Arial"/>
          <w:b/>
        </w:rPr>
        <w:t>20</w:t>
      </w:r>
      <w:r w:rsidRPr="00996525">
        <w:rPr>
          <w:rFonts w:ascii="Century Gothic" w:hAnsi="Century Gothic" w:cs="Arial"/>
        </w:rPr>
        <w:t xml:space="preserve"> - Aos </w:t>
      </w:r>
      <w:r w:rsidR="000163FB">
        <w:rPr>
          <w:rFonts w:ascii="Century Gothic" w:hAnsi="Century Gothic" w:cs="Arial"/>
        </w:rPr>
        <w:t>21</w:t>
      </w:r>
      <w:r w:rsidR="00856158" w:rsidRPr="00996525">
        <w:rPr>
          <w:rFonts w:ascii="Century Gothic" w:hAnsi="Century Gothic" w:cs="Arial"/>
        </w:rPr>
        <w:t xml:space="preserve"> </w:t>
      </w:r>
      <w:r w:rsidRPr="00996525">
        <w:rPr>
          <w:rFonts w:ascii="Century Gothic" w:hAnsi="Century Gothic" w:cs="Arial"/>
        </w:rPr>
        <w:t xml:space="preserve">dias do mês de </w:t>
      </w:r>
      <w:r w:rsidR="000163FB">
        <w:rPr>
          <w:rFonts w:ascii="Century Gothic" w:hAnsi="Century Gothic" w:cs="Arial"/>
        </w:rPr>
        <w:t>OUTUBRO</w:t>
      </w:r>
      <w:r w:rsidR="00FF0287" w:rsidRPr="00996525">
        <w:rPr>
          <w:rFonts w:ascii="Century Gothic" w:hAnsi="Century Gothic" w:cs="Arial"/>
        </w:rPr>
        <w:t xml:space="preserve"> </w:t>
      </w:r>
      <w:r w:rsidR="00A6501E" w:rsidRPr="00996525">
        <w:rPr>
          <w:rFonts w:ascii="Century Gothic" w:hAnsi="Century Gothic" w:cs="Arial"/>
        </w:rPr>
        <w:t>do</w:t>
      </w:r>
      <w:r w:rsidRPr="00996525">
        <w:rPr>
          <w:rFonts w:ascii="Century Gothic" w:hAnsi="Century Gothic" w:cs="Arial"/>
        </w:rPr>
        <w:t xml:space="preserve"> ano de </w:t>
      </w:r>
      <w:r w:rsidR="00657DE9">
        <w:rPr>
          <w:rFonts w:ascii="Century Gothic" w:hAnsi="Century Gothic" w:cs="Arial"/>
        </w:rPr>
        <w:t>2020</w:t>
      </w:r>
      <w:r w:rsidR="00856158" w:rsidRPr="00996525">
        <w:rPr>
          <w:rFonts w:ascii="Century Gothic" w:hAnsi="Century Gothic" w:cs="Arial"/>
        </w:rPr>
        <w:t xml:space="preserve">, às </w:t>
      </w:r>
      <w:r w:rsidR="004A5CC2">
        <w:rPr>
          <w:rFonts w:ascii="Century Gothic" w:hAnsi="Century Gothic" w:cs="Arial"/>
        </w:rPr>
        <w:t>15:</w:t>
      </w:r>
      <w:r w:rsidR="000A708E">
        <w:rPr>
          <w:rFonts w:ascii="Century Gothic" w:hAnsi="Century Gothic" w:cs="Arial"/>
        </w:rPr>
        <w:t>0</w:t>
      </w:r>
      <w:r w:rsidR="001B5A68">
        <w:rPr>
          <w:rFonts w:ascii="Century Gothic" w:hAnsi="Century Gothic" w:cs="Arial"/>
        </w:rPr>
        <w:t>0hs</w:t>
      </w:r>
      <w:r w:rsidRPr="00996525">
        <w:rPr>
          <w:rFonts w:ascii="Century Gothic" w:hAnsi="Century Gothic" w:cs="Arial"/>
        </w:rPr>
        <w:t>, reuniram-se os membros do comitê de investimentos</w:t>
      </w:r>
      <w:r w:rsidR="00104CDC">
        <w:rPr>
          <w:rFonts w:ascii="Century Gothic" w:hAnsi="Century Gothic" w:cs="Arial"/>
        </w:rPr>
        <w:t xml:space="preserve">, </w:t>
      </w:r>
      <w:r w:rsidR="00D30075">
        <w:rPr>
          <w:rFonts w:ascii="Century Gothic" w:hAnsi="Century Gothic" w:cs="Arial"/>
        </w:rPr>
        <w:t>onde o Presidente apresentou a rentabilidade</w:t>
      </w:r>
      <w:r w:rsidR="00FA1BEF">
        <w:rPr>
          <w:rFonts w:ascii="Century Gothic" w:hAnsi="Century Gothic" w:cs="Arial"/>
        </w:rPr>
        <w:t xml:space="preserve"> da carteira</w:t>
      </w:r>
      <w:r w:rsidR="00D30075">
        <w:rPr>
          <w:rFonts w:ascii="Century Gothic" w:hAnsi="Century Gothic" w:cs="Arial"/>
        </w:rPr>
        <w:t xml:space="preserve"> do mês de </w:t>
      </w:r>
      <w:r w:rsidR="00CA78A6">
        <w:rPr>
          <w:rFonts w:ascii="Century Gothic" w:hAnsi="Century Gothic" w:cs="Arial"/>
        </w:rPr>
        <w:t>setembro</w:t>
      </w:r>
      <w:r w:rsidR="00D30075">
        <w:rPr>
          <w:rFonts w:ascii="Century Gothic" w:hAnsi="Century Gothic" w:cs="Arial"/>
        </w:rPr>
        <w:t>.</w:t>
      </w: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128"/>
        <w:gridCol w:w="1573"/>
        <w:gridCol w:w="832"/>
        <w:gridCol w:w="1852"/>
        <w:gridCol w:w="1986"/>
        <w:gridCol w:w="1667"/>
      </w:tblGrid>
      <w:tr w:rsidR="00161971" w14:paraId="7ACC8B1D" w14:textId="77777777" w:rsidTr="00D46EAA">
        <w:tc>
          <w:tcPr>
            <w:tcW w:w="1128" w:type="dxa"/>
            <w:shd w:val="clear" w:color="auto" w:fill="D9D9D9" w:themeFill="background1" w:themeFillShade="D9"/>
            <w:vAlign w:val="center"/>
          </w:tcPr>
          <w:p w14:paraId="378BD60D" w14:textId="681580DD" w:rsidR="00F14B85" w:rsidRPr="00BB3D55" w:rsidRDefault="00C002F2" w:rsidP="00BB3D55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BB3D55">
              <w:rPr>
                <w:rFonts w:ascii="Century Gothic" w:eastAsiaTheme="minorHAnsi" w:hAnsi="Century Gothic" w:cs="Verdana"/>
                <w:b/>
              </w:rPr>
              <w:t>0</w:t>
            </w:r>
            <w:r w:rsidR="00CA78A6">
              <w:rPr>
                <w:rFonts w:ascii="Century Gothic" w:eastAsiaTheme="minorHAnsi" w:hAnsi="Century Gothic" w:cs="Verdana"/>
                <w:b/>
              </w:rPr>
              <w:t>9</w:t>
            </w:r>
            <w:r w:rsidRPr="00BB3D55">
              <w:rPr>
                <w:rFonts w:ascii="Century Gothic" w:eastAsiaTheme="minorHAnsi" w:hAnsi="Century Gothic" w:cs="Verdana"/>
                <w:b/>
              </w:rPr>
              <w:t>/2</w:t>
            </w:r>
            <w:r w:rsidR="00791B53" w:rsidRPr="00BB3D55">
              <w:rPr>
                <w:rFonts w:ascii="Century Gothic" w:eastAsiaTheme="minorHAnsi" w:hAnsi="Century Gothic" w:cs="Verdana"/>
                <w:b/>
              </w:rPr>
              <w:t>020</w:t>
            </w:r>
          </w:p>
        </w:tc>
        <w:tc>
          <w:tcPr>
            <w:tcW w:w="1573" w:type="dxa"/>
            <w:shd w:val="clear" w:color="auto" w:fill="D9D9D9" w:themeFill="background1" w:themeFillShade="D9"/>
            <w:vAlign w:val="center"/>
          </w:tcPr>
          <w:p w14:paraId="0A9F6F97" w14:textId="77777777" w:rsidR="00F14B85" w:rsidRPr="00BB3D55" w:rsidRDefault="00F14B85" w:rsidP="00BB3D55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BB3D55">
              <w:rPr>
                <w:rFonts w:ascii="Century Gothic" w:eastAsiaTheme="minorHAnsi" w:hAnsi="Century Gothic" w:cs="Verdana"/>
                <w:b/>
              </w:rPr>
              <w:t>Rentabilidade</w:t>
            </w:r>
          </w:p>
        </w:tc>
        <w:tc>
          <w:tcPr>
            <w:tcW w:w="832" w:type="dxa"/>
            <w:shd w:val="clear" w:color="auto" w:fill="D9D9D9" w:themeFill="background1" w:themeFillShade="D9"/>
            <w:vAlign w:val="center"/>
          </w:tcPr>
          <w:p w14:paraId="2188B68B" w14:textId="77777777" w:rsidR="00F14B85" w:rsidRPr="00BB3D55" w:rsidRDefault="00F14B85" w:rsidP="00BB3D55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BB3D55">
              <w:rPr>
                <w:rFonts w:ascii="Century Gothic" w:eastAsiaTheme="minorHAnsi" w:hAnsi="Century Gothic" w:cs="Verdana"/>
                <w:b/>
              </w:rPr>
              <w:t>IPCA</w:t>
            </w:r>
          </w:p>
        </w:tc>
        <w:tc>
          <w:tcPr>
            <w:tcW w:w="1852" w:type="dxa"/>
            <w:shd w:val="clear" w:color="auto" w:fill="D9D9D9" w:themeFill="background1" w:themeFillShade="D9"/>
          </w:tcPr>
          <w:p w14:paraId="14CFBF4D" w14:textId="77777777" w:rsidR="00D46EAA" w:rsidRDefault="00F14B85" w:rsidP="00161971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BB3D55">
              <w:rPr>
                <w:rFonts w:ascii="Century Gothic" w:eastAsiaTheme="minorHAnsi" w:hAnsi="Century Gothic" w:cs="Verdana"/>
                <w:b/>
              </w:rPr>
              <w:t>M</w:t>
            </w:r>
            <w:r w:rsidR="00A8385C" w:rsidRPr="00BB3D55">
              <w:rPr>
                <w:rFonts w:ascii="Century Gothic" w:eastAsiaTheme="minorHAnsi" w:hAnsi="Century Gothic" w:cs="Verdana"/>
                <w:b/>
              </w:rPr>
              <w:t>eta</w:t>
            </w:r>
          </w:p>
          <w:p w14:paraId="00EAA76C" w14:textId="77777777" w:rsidR="00F14B85" w:rsidRPr="00BB3D55" w:rsidRDefault="00F14B85" w:rsidP="00D46EAA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BB3D55">
              <w:rPr>
                <w:rFonts w:ascii="Century Gothic" w:eastAsiaTheme="minorHAnsi" w:hAnsi="Century Gothic" w:cs="Verdana"/>
                <w:b/>
              </w:rPr>
              <w:t>IPCA+</w:t>
            </w:r>
            <w:r w:rsidR="00A8385C" w:rsidRPr="00BB3D55">
              <w:rPr>
                <w:rFonts w:ascii="Century Gothic" w:eastAsiaTheme="minorHAnsi" w:hAnsi="Century Gothic" w:cs="Verdana"/>
                <w:b/>
              </w:rPr>
              <w:t>5,8</w:t>
            </w:r>
            <w:r w:rsidR="006E65E1" w:rsidRPr="00BB3D55">
              <w:rPr>
                <w:rFonts w:ascii="Century Gothic" w:eastAsiaTheme="minorHAnsi" w:hAnsi="Century Gothic" w:cs="Verdana"/>
                <w:b/>
              </w:rPr>
              <w:t>7</w:t>
            </w:r>
            <w:r w:rsidRPr="00BB3D55">
              <w:rPr>
                <w:rFonts w:ascii="Century Gothic" w:eastAsiaTheme="minorHAnsi" w:hAnsi="Century Gothic" w:cs="Verdana"/>
                <w:b/>
              </w:rPr>
              <w:t>%</w:t>
            </w:r>
          </w:p>
        </w:tc>
        <w:tc>
          <w:tcPr>
            <w:tcW w:w="1986" w:type="dxa"/>
            <w:shd w:val="clear" w:color="auto" w:fill="D9D9D9" w:themeFill="background1" w:themeFillShade="D9"/>
          </w:tcPr>
          <w:p w14:paraId="4525816C" w14:textId="77777777" w:rsidR="00D46EAA" w:rsidRDefault="00BB3D55" w:rsidP="00D46EAA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BB3D55">
              <w:rPr>
                <w:rFonts w:ascii="Century Gothic" w:eastAsiaTheme="minorHAnsi" w:hAnsi="Century Gothic" w:cs="Verdana"/>
                <w:b/>
              </w:rPr>
              <w:t>Rentabilidade</w:t>
            </w:r>
            <w:r w:rsidR="00D46EAA">
              <w:rPr>
                <w:rFonts w:ascii="Century Gothic" w:eastAsiaTheme="minorHAnsi" w:hAnsi="Century Gothic" w:cs="Verdana"/>
                <w:b/>
              </w:rPr>
              <w:t xml:space="preserve"> </w:t>
            </w:r>
          </w:p>
          <w:p w14:paraId="4AE2E600" w14:textId="77777777" w:rsidR="00F14B85" w:rsidRPr="00BB3D55" w:rsidRDefault="00926682" w:rsidP="00D46EAA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>
              <w:rPr>
                <w:rFonts w:ascii="Century Gothic" w:eastAsiaTheme="minorHAnsi" w:hAnsi="Century Gothic" w:cs="Verdana"/>
                <w:b/>
              </w:rPr>
              <w:t xml:space="preserve">(-) </w:t>
            </w:r>
            <w:r w:rsidR="00D46EAA">
              <w:rPr>
                <w:rFonts w:ascii="Century Gothic" w:eastAsiaTheme="minorHAnsi" w:hAnsi="Century Gothic" w:cs="Verdana"/>
                <w:b/>
              </w:rPr>
              <w:t>Meta</w:t>
            </w:r>
            <w:r w:rsidR="00BB3D55" w:rsidRPr="00BB3D55">
              <w:rPr>
                <w:rFonts w:ascii="Century Gothic" w:eastAsiaTheme="minorHAnsi" w:hAnsi="Century Gothic" w:cs="Verdana"/>
                <w:b/>
              </w:rPr>
              <w:t xml:space="preserve">  </w:t>
            </w:r>
          </w:p>
        </w:tc>
        <w:tc>
          <w:tcPr>
            <w:tcW w:w="1667" w:type="dxa"/>
            <w:vMerge w:val="restart"/>
            <w:shd w:val="clear" w:color="auto" w:fill="D9D9D9" w:themeFill="background1" w:themeFillShade="D9"/>
            <w:vAlign w:val="center"/>
          </w:tcPr>
          <w:p w14:paraId="7D9E642A" w14:textId="77777777" w:rsidR="00F14B85" w:rsidRPr="00161971" w:rsidRDefault="00F14B85" w:rsidP="00BB3D55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161971">
              <w:rPr>
                <w:rFonts w:ascii="Century Gothic" w:eastAsiaTheme="minorHAnsi" w:hAnsi="Century Gothic" w:cs="Verdana"/>
                <w:b/>
              </w:rPr>
              <w:t>TAXA</w:t>
            </w:r>
          </w:p>
          <w:p w14:paraId="40759B1D" w14:textId="77777777" w:rsidR="00F14B85" w:rsidRPr="00161971" w:rsidRDefault="00F14B85" w:rsidP="00BB3D55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161971">
              <w:rPr>
                <w:rFonts w:ascii="Century Gothic" w:eastAsiaTheme="minorHAnsi" w:hAnsi="Century Gothic" w:cs="Verdana"/>
                <w:b/>
              </w:rPr>
              <w:t>SELIC</w:t>
            </w:r>
          </w:p>
        </w:tc>
      </w:tr>
      <w:tr w:rsidR="00161971" w14:paraId="36993A49" w14:textId="77777777" w:rsidTr="00D46EAA">
        <w:tc>
          <w:tcPr>
            <w:tcW w:w="1128" w:type="dxa"/>
          </w:tcPr>
          <w:p w14:paraId="1401C0BD" w14:textId="77777777" w:rsidR="00F14B85" w:rsidRPr="00906730" w:rsidRDefault="00F14B85" w:rsidP="00E43F38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906730">
              <w:rPr>
                <w:rFonts w:ascii="Century Gothic" w:eastAsiaTheme="minorHAnsi" w:hAnsi="Century Gothic" w:cs="Verdana"/>
                <w:b/>
              </w:rPr>
              <w:t>No mês</w:t>
            </w:r>
          </w:p>
        </w:tc>
        <w:tc>
          <w:tcPr>
            <w:tcW w:w="1573" w:type="dxa"/>
          </w:tcPr>
          <w:p w14:paraId="224BC70A" w14:textId="02625A87" w:rsidR="00F14B85" w:rsidRPr="00BB3D55" w:rsidRDefault="000A50FB" w:rsidP="004B5E19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-</w:t>
            </w:r>
            <w:r w:rsidR="00DC7E2E">
              <w:rPr>
                <w:rFonts w:ascii="Century Gothic" w:eastAsiaTheme="minorHAnsi" w:hAnsi="Century Gothic" w:cs="Verdana"/>
              </w:rPr>
              <w:t>0,688</w:t>
            </w:r>
          </w:p>
        </w:tc>
        <w:tc>
          <w:tcPr>
            <w:tcW w:w="832" w:type="dxa"/>
          </w:tcPr>
          <w:p w14:paraId="501F7CD6" w14:textId="6A707414" w:rsidR="00F14B85" w:rsidRPr="00BB3D55" w:rsidRDefault="00BB3D55" w:rsidP="00D46EAA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 w:rsidRPr="00BB3D55">
              <w:rPr>
                <w:rFonts w:ascii="Century Gothic" w:eastAsiaTheme="minorHAnsi" w:hAnsi="Century Gothic" w:cs="Verdana"/>
              </w:rPr>
              <w:t>0</w:t>
            </w:r>
            <w:r w:rsidR="004B5E19">
              <w:rPr>
                <w:rFonts w:ascii="Century Gothic" w:eastAsiaTheme="minorHAnsi" w:hAnsi="Century Gothic" w:cs="Verdana"/>
              </w:rPr>
              <w:t>,</w:t>
            </w:r>
            <w:r w:rsidR="00DC7E2E">
              <w:rPr>
                <w:rFonts w:ascii="Century Gothic" w:eastAsiaTheme="minorHAnsi" w:hAnsi="Century Gothic" w:cs="Verdana"/>
              </w:rPr>
              <w:t>6</w:t>
            </w:r>
            <w:r w:rsidR="000A50FB">
              <w:rPr>
                <w:rFonts w:ascii="Century Gothic" w:eastAsiaTheme="minorHAnsi" w:hAnsi="Century Gothic" w:cs="Verdana"/>
              </w:rPr>
              <w:t>4</w:t>
            </w:r>
          </w:p>
        </w:tc>
        <w:tc>
          <w:tcPr>
            <w:tcW w:w="1852" w:type="dxa"/>
          </w:tcPr>
          <w:p w14:paraId="6304EC0A" w14:textId="037703AA" w:rsidR="00F14B85" w:rsidRPr="00161971" w:rsidRDefault="00DC7E2E" w:rsidP="004B5E19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1,12</w:t>
            </w:r>
          </w:p>
        </w:tc>
        <w:tc>
          <w:tcPr>
            <w:tcW w:w="1986" w:type="dxa"/>
          </w:tcPr>
          <w:p w14:paraId="4EE034B7" w14:textId="32392A00" w:rsidR="00F14B85" w:rsidRPr="00926682" w:rsidRDefault="000A50FB" w:rsidP="00D46EAA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-1,</w:t>
            </w:r>
            <w:r w:rsidR="00DC7E2E">
              <w:rPr>
                <w:rFonts w:ascii="Century Gothic" w:eastAsiaTheme="minorHAnsi" w:hAnsi="Century Gothic" w:cs="Verdana"/>
              </w:rPr>
              <w:t>807</w:t>
            </w:r>
          </w:p>
        </w:tc>
        <w:tc>
          <w:tcPr>
            <w:tcW w:w="1667" w:type="dxa"/>
            <w:vMerge/>
            <w:shd w:val="clear" w:color="auto" w:fill="D9D9D9" w:themeFill="background1" w:themeFillShade="D9"/>
          </w:tcPr>
          <w:p w14:paraId="0A533EB4" w14:textId="77777777" w:rsidR="00F14B85" w:rsidRPr="00161971" w:rsidRDefault="00F14B85" w:rsidP="00871469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  <w:color w:val="FF0000"/>
              </w:rPr>
            </w:pPr>
          </w:p>
        </w:tc>
      </w:tr>
      <w:tr w:rsidR="00161971" w14:paraId="1F43D202" w14:textId="77777777" w:rsidTr="00D46EAA">
        <w:tc>
          <w:tcPr>
            <w:tcW w:w="1128" w:type="dxa"/>
          </w:tcPr>
          <w:p w14:paraId="2F5DD385" w14:textId="77777777" w:rsidR="00F14B85" w:rsidRPr="00906730" w:rsidRDefault="00F14B85" w:rsidP="00E43F38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906730">
              <w:rPr>
                <w:rFonts w:ascii="Century Gothic" w:eastAsiaTheme="minorHAnsi" w:hAnsi="Century Gothic" w:cs="Verdana"/>
                <w:b/>
              </w:rPr>
              <w:t>No ano</w:t>
            </w:r>
          </w:p>
        </w:tc>
        <w:tc>
          <w:tcPr>
            <w:tcW w:w="1573" w:type="dxa"/>
          </w:tcPr>
          <w:p w14:paraId="3D88565B" w14:textId="44FDC3CC" w:rsidR="00F14B85" w:rsidRPr="00161971" w:rsidRDefault="00DC7E2E" w:rsidP="00D46EAA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1,693</w:t>
            </w:r>
          </w:p>
        </w:tc>
        <w:tc>
          <w:tcPr>
            <w:tcW w:w="832" w:type="dxa"/>
          </w:tcPr>
          <w:p w14:paraId="3265AE03" w14:textId="346967C0" w:rsidR="00F14B85" w:rsidRPr="00886EE7" w:rsidRDefault="00DC7E2E" w:rsidP="004B5E19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1,34</w:t>
            </w:r>
          </w:p>
        </w:tc>
        <w:tc>
          <w:tcPr>
            <w:tcW w:w="1852" w:type="dxa"/>
          </w:tcPr>
          <w:p w14:paraId="01D1717A" w14:textId="7FE2637E" w:rsidR="00F14B85" w:rsidRPr="00886EE7" w:rsidRDefault="00DC7E2E" w:rsidP="00D46EAA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5,77</w:t>
            </w:r>
          </w:p>
        </w:tc>
        <w:tc>
          <w:tcPr>
            <w:tcW w:w="1986" w:type="dxa"/>
          </w:tcPr>
          <w:p w14:paraId="5AFAF444" w14:textId="5AFB5BF7" w:rsidR="00F14B85" w:rsidRPr="00926682" w:rsidRDefault="00886EE7" w:rsidP="004B5E19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-</w:t>
            </w:r>
            <w:r w:rsidR="00DC7E2E">
              <w:rPr>
                <w:rFonts w:ascii="Century Gothic" w:eastAsiaTheme="minorHAnsi" w:hAnsi="Century Gothic" w:cs="Verdana"/>
              </w:rPr>
              <w:t>4,08</w:t>
            </w:r>
          </w:p>
        </w:tc>
        <w:tc>
          <w:tcPr>
            <w:tcW w:w="1667" w:type="dxa"/>
          </w:tcPr>
          <w:p w14:paraId="6879AF37" w14:textId="77777777" w:rsidR="00F14B85" w:rsidRPr="00161971" w:rsidRDefault="00BC631E" w:rsidP="008C1848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 w:rsidRPr="00161971">
              <w:rPr>
                <w:rFonts w:ascii="Century Gothic" w:eastAsiaTheme="minorHAnsi" w:hAnsi="Century Gothic" w:cs="Verdana"/>
              </w:rPr>
              <w:t>2,</w:t>
            </w:r>
            <w:r w:rsidR="008C1848">
              <w:rPr>
                <w:rFonts w:ascii="Century Gothic" w:eastAsiaTheme="minorHAnsi" w:hAnsi="Century Gothic" w:cs="Verdana"/>
              </w:rPr>
              <w:t>00</w:t>
            </w:r>
            <w:r w:rsidR="00F14B85" w:rsidRPr="00161971">
              <w:rPr>
                <w:rFonts w:ascii="Century Gothic" w:eastAsiaTheme="minorHAnsi" w:hAnsi="Century Gothic" w:cs="Verdana"/>
              </w:rPr>
              <w:t xml:space="preserve">% </w:t>
            </w:r>
          </w:p>
        </w:tc>
      </w:tr>
    </w:tbl>
    <w:p w14:paraId="07DC6854" w14:textId="77777777" w:rsidR="00926682" w:rsidRDefault="00926682" w:rsidP="00FA1BEF">
      <w:pPr>
        <w:autoSpaceDE w:val="0"/>
        <w:autoSpaceDN w:val="0"/>
        <w:adjustRightInd w:val="0"/>
        <w:spacing w:line="240" w:lineRule="auto"/>
        <w:jc w:val="center"/>
        <w:rPr>
          <w:rFonts w:ascii="Verdana" w:eastAsiaTheme="minorHAnsi" w:hAnsi="Verdana" w:cs="Verdana"/>
          <w:color w:val="000000"/>
          <w:sz w:val="24"/>
          <w:szCs w:val="24"/>
        </w:rPr>
      </w:pPr>
    </w:p>
    <w:p w14:paraId="2D9B0A93" w14:textId="434407A0" w:rsidR="00FA1BEF" w:rsidRDefault="00231F59" w:rsidP="00926682">
      <w:pPr>
        <w:autoSpaceDE w:val="0"/>
        <w:autoSpaceDN w:val="0"/>
        <w:adjustRightInd w:val="0"/>
        <w:spacing w:line="240" w:lineRule="auto"/>
        <w:jc w:val="left"/>
        <w:rPr>
          <w:rFonts w:ascii="Verdana" w:eastAsiaTheme="minorHAnsi" w:hAnsi="Verdana" w:cs="Verdana"/>
          <w:color w:val="000000"/>
          <w:sz w:val="24"/>
          <w:szCs w:val="24"/>
        </w:rPr>
      </w:pPr>
      <w:r w:rsidRPr="00231F59">
        <w:rPr>
          <w:rFonts w:ascii="Verdana" w:eastAsiaTheme="minorHAnsi" w:hAnsi="Verdana" w:cs="Verdana"/>
          <w:noProof/>
          <w:color w:val="000000"/>
          <w:sz w:val="24"/>
          <w:szCs w:val="24"/>
          <w:lang w:eastAsia="pt-BR"/>
        </w:rPr>
        <w:drawing>
          <wp:inline distT="0" distB="0" distL="0" distR="0" wp14:anchorId="288D5EFC" wp14:editId="2DF5A191">
            <wp:extent cx="5670550" cy="516128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550" cy="5161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83AAC1" w14:textId="190EFC45" w:rsidR="00231F59" w:rsidRDefault="00231F59" w:rsidP="00231F59">
      <w:pPr>
        <w:autoSpaceDE w:val="0"/>
        <w:autoSpaceDN w:val="0"/>
        <w:adjustRightInd w:val="0"/>
        <w:spacing w:line="240" w:lineRule="auto"/>
        <w:rPr>
          <w:rFonts w:ascii="Century Gothic" w:eastAsiaTheme="minorHAnsi" w:hAnsi="Century Gothic" w:cs="Verdana"/>
          <w:color w:val="000000"/>
        </w:rPr>
      </w:pPr>
      <w:r w:rsidRPr="00231F59">
        <w:rPr>
          <w:rFonts w:ascii="Century Gothic" w:eastAsiaTheme="minorHAnsi" w:hAnsi="Century Gothic" w:cs="Verdana"/>
          <w:color w:val="000000"/>
        </w:rPr>
        <w:t>O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231F59">
        <w:rPr>
          <w:rFonts w:ascii="Century Gothic" w:eastAsiaTheme="minorHAnsi" w:hAnsi="Century Gothic" w:cs="Verdana"/>
          <w:color w:val="000000"/>
        </w:rPr>
        <w:t>COPOM manteve a taxa Selic estável em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231F59">
        <w:rPr>
          <w:rFonts w:ascii="Century Gothic" w:eastAsiaTheme="minorHAnsi" w:hAnsi="Century Gothic" w:cs="Verdana"/>
          <w:color w:val="000000"/>
        </w:rPr>
        <w:t>2</w:t>
      </w:r>
      <w:r>
        <w:rPr>
          <w:rFonts w:ascii="Century Gothic" w:eastAsiaTheme="minorHAnsi" w:hAnsi="Century Gothic" w:cs="Verdana"/>
          <w:color w:val="000000"/>
        </w:rPr>
        <w:t>%</w:t>
      </w:r>
      <w:r w:rsidRPr="00231F59">
        <w:rPr>
          <w:rFonts w:ascii="Century Gothic" w:eastAsiaTheme="minorHAnsi" w:hAnsi="Century Gothic" w:cs="Verdana"/>
          <w:color w:val="000000"/>
        </w:rPr>
        <w:t xml:space="preserve"> na reunião realizada em setembro</w:t>
      </w:r>
      <w:r>
        <w:rPr>
          <w:rFonts w:ascii="Century Gothic" w:eastAsiaTheme="minorHAnsi" w:hAnsi="Century Gothic" w:cs="Verdana"/>
          <w:color w:val="000000"/>
        </w:rPr>
        <w:t xml:space="preserve">. </w:t>
      </w:r>
      <w:r w:rsidRPr="00231F59">
        <w:rPr>
          <w:rFonts w:ascii="Century Gothic" w:eastAsiaTheme="minorHAnsi" w:hAnsi="Century Gothic" w:cs="Verdana"/>
          <w:color w:val="000000"/>
        </w:rPr>
        <w:t>Na ata, o BCB manteve a avaliação de que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231F59">
        <w:rPr>
          <w:rFonts w:ascii="Century Gothic" w:eastAsiaTheme="minorHAnsi" w:hAnsi="Century Gothic" w:cs="Verdana"/>
          <w:color w:val="000000"/>
        </w:rPr>
        <w:t>a economia brasileira segue em processo de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231F59">
        <w:rPr>
          <w:rFonts w:ascii="Century Gothic" w:eastAsiaTheme="minorHAnsi" w:hAnsi="Century Gothic" w:cs="Verdana"/>
          <w:color w:val="000000"/>
        </w:rPr>
        <w:t>recuperação heterogênea do choque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231F59">
        <w:rPr>
          <w:rFonts w:ascii="Century Gothic" w:eastAsiaTheme="minorHAnsi" w:hAnsi="Century Gothic" w:cs="Verdana"/>
          <w:color w:val="000000"/>
        </w:rPr>
        <w:t>provocado pela COVID 19 ainda que os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231F59">
        <w:rPr>
          <w:rFonts w:ascii="Century Gothic" w:eastAsiaTheme="minorHAnsi" w:hAnsi="Century Gothic" w:cs="Verdana"/>
          <w:color w:val="000000"/>
        </w:rPr>
        <w:t>sinais sejam de recuperação mais rápida do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231F59">
        <w:rPr>
          <w:rFonts w:ascii="Century Gothic" w:eastAsiaTheme="minorHAnsi" w:hAnsi="Century Gothic" w:cs="Verdana"/>
          <w:color w:val="000000"/>
        </w:rPr>
        <w:t>que os demais países emergentes</w:t>
      </w:r>
      <w:r>
        <w:rPr>
          <w:rFonts w:ascii="Century Gothic" w:eastAsiaTheme="minorHAnsi" w:hAnsi="Century Gothic" w:cs="Verdana"/>
          <w:color w:val="000000"/>
        </w:rPr>
        <w:t>.</w:t>
      </w:r>
      <w:r w:rsidRPr="00231F59">
        <w:rPr>
          <w:rFonts w:ascii="Century Gothic" w:eastAsiaTheme="minorHAnsi" w:hAnsi="Century Gothic" w:cs="Verdana"/>
          <w:color w:val="000000"/>
        </w:rPr>
        <w:t xml:space="preserve"> O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231F59">
        <w:rPr>
          <w:rFonts w:ascii="Century Gothic" w:eastAsiaTheme="minorHAnsi" w:hAnsi="Century Gothic" w:cs="Verdana"/>
          <w:color w:val="000000"/>
        </w:rPr>
        <w:t>recente choque nos preços de alimentos foi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231F59">
        <w:rPr>
          <w:rFonts w:ascii="Century Gothic" w:eastAsiaTheme="minorHAnsi" w:hAnsi="Century Gothic" w:cs="Verdana"/>
          <w:color w:val="000000"/>
        </w:rPr>
        <w:t>citado no documento, dando a entender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231F59">
        <w:rPr>
          <w:rFonts w:ascii="Century Gothic" w:eastAsiaTheme="minorHAnsi" w:hAnsi="Century Gothic" w:cs="Verdana"/>
          <w:color w:val="000000"/>
        </w:rPr>
        <w:t>que, para o BCB, este é um fenômeno de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231F59">
        <w:rPr>
          <w:rFonts w:ascii="Century Gothic" w:eastAsiaTheme="minorHAnsi" w:hAnsi="Century Gothic" w:cs="Verdana"/>
          <w:color w:val="000000"/>
        </w:rPr>
        <w:t>curto prazo</w:t>
      </w:r>
      <w:r>
        <w:rPr>
          <w:rFonts w:ascii="Century Gothic" w:eastAsiaTheme="minorHAnsi" w:hAnsi="Century Gothic" w:cs="Verdana"/>
          <w:color w:val="000000"/>
        </w:rPr>
        <w:t>.</w:t>
      </w:r>
      <w:r w:rsidRPr="00231F59">
        <w:rPr>
          <w:rFonts w:ascii="Century Gothic" w:eastAsiaTheme="minorHAnsi" w:hAnsi="Century Gothic" w:cs="Verdana"/>
          <w:color w:val="000000"/>
        </w:rPr>
        <w:t xml:space="preserve"> A orientação futura da política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231F59">
        <w:rPr>
          <w:rFonts w:ascii="Century Gothic" w:eastAsiaTheme="minorHAnsi" w:hAnsi="Century Gothic" w:cs="Verdana"/>
          <w:color w:val="000000"/>
        </w:rPr>
        <w:t>monetária seguiu como elemento central do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231F59">
        <w:rPr>
          <w:rFonts w:ascii="Century Gothic" w:eastAsiaTheme="minorHAnsi" w:hAnsi="Century Gothic" w:cs="Verdana"/>
          <w:color w:val="000000"/>
        </w:rPr>
        <w:t>comunicado, com o BCB mantendo os graus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231F59">
        <w:rPr>
          <w:rFonts w:ascii="Century Gothic" w:eastAsiaTheme="minorHAnsi" w:hAnsi="Century Gothic" w:cs="Verdana"/>
          <w:color w:val="000000"/>
        </w:rPr>
        <w:t>de liberdade para possibilitar eventuais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231F59">
        <w:rPr>
          <w:rFonts w:ascii="Century Gothic" w:eastAsiaTheme="minorHAnsi" w:hAnsi="Century Gothic" w:cs="Verdana"/>
          <w:color w:val="000000"/>
        </w:rPr>
        <w:t>ajustes no grau de estímulo e reforçando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231F59">
        <w:rPr>
          <w:rFonts w:ascii="Century Gothic" w:eastAsiaTheme="minorHAnsi" w:hAnsi="Century Gothic" w:cs="Verdana"/>
          <w:color w:val="000000"/>
        </w:rPr>
        <w:t>que, caso ocorram, serão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231F59">
        <w:rPr>
          <w:rFonts w:ascii="Century Gothic" w:eastAsiaTheme="minorHAnsi" w:hAnsi="Century Gothic" w:cs="Verdana"/>
          <w:color w:val="000000"/>
        </w:rPr>
        <w:t>realizados com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231F59">
        <w:rPr>
          <w:rFonts w:ascii="Century Gothic" w:eastAsiaTheme="minorHAnsi" w:hAnsi="Century Gothic" w:cs="Verdana"/>
          <w:color w:val="000000"/>
        </w:rPr>
        <w:t>gradualismo adicional</w:t>
      </w:r>
      <w:r>
        <w:rPr>
          <w:rFonts w:ascii="Century Gothic" w:eastAsiaTheme="minorHAnsi" w:hAnsi="Century Gothic" w:cs="Verdana"/>
          <w:color w:val="000000"/>
        </w:rPr>
        <w:t xml:space="preserve">. </w:t>
      </w:r>
    </w:p>
    <w:p w14:paraId="5E94E9BF" w14:textId="77777777" w:rsidR="00231F59" w:rsidRDefault="00231F59" w:rsidP="005855C0">
      <w:pPr>
        <w:autoSpaceDE w:val="0"/>
        <w:autoSpaceDN w:val="0"/>
        <w:adjustRightInd w:val="0"/>
        <w:spacing w:line="240" w:lineRule="auto"/>
        <w:rPr>
          <w:rFonts w:ascii="Century Gothic" w:eastAsiaTheme="minorHAnsi" w:hAnsi="Century Gothic" w:cs="Verdana"/>
          <w:color w:val="000000"/>
        </w:rPr>
      </w:pPr>
    </w:p>
    <w:p w14:paraId="1C14E12B" w14:textId="62EB2061" w:rsidR="00231F59" w:rsidRDefault="00231F59" w:rsidP="00231F59">
      <w:pPr>
        <w:autoSpaceDE w:val="0"/>
        <w:autoSpaceDN w:val="0"/>
        <w:adjustRightInd w:val="0"/>
        <w:spacing w:line="240" w:lineRule="auto"/>
        <w:rPr>
          <w:rFonts w:ascii="Century Gothic" w:eastAsiaTheme="minorHAnsi" w:hAnsi="Century Gothic" w:cs="Verdana"/>
          <w:color w:val="000000"/>
        </w:rPr>
      </w:pPr>
      <w:r w:rsidRPr="00231F59">
        <w:rPr>
          <w:rFonts w:ascii="Century Gothic" w:eastAsiaTheme="minorHAnsi" w:hAnsi="Century Gothic" w:cs="Verdana"/>
          <w:color w:val="000000"/>
        </w:rPr>
        <w:t>A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231F59">
        <w:rPr>
          <w:rFonts w:ascii="Century Gothic" w:eastAsiaTheme="minorHAnsi" w:hAnsi="Century Gothic" w:cs="Verdana"/>
          <w:color w:val="000000"/>
        </w:rPr>
        <w:t>inflação medida pelo IPCA registrou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231F59">
        <w:rPr>
          <w:rFonts w:ascii="Century Gothic" w:eastAsiaTheme="minorHAnsi" w:hAnsi="Century Gothic" w:cs="Verdana"/>
          <w:color w:val="000000"/>
        </w:rPr>
        <w:t xml:space="preserve">forte aceleração de </w:t>
      </w:r>
      <w:r>
        <w:rPr>
          <w:rFonts w:ascii="Century Gothic" w:eastAsiaTheme="minorHAnsi" w:hAnsi="Century Gothic" w:cs="Verdana"/>
          <w:color w:val="000000"/>
        </w:rPr>
        <w:t>0,24%</w:t>
      </w:r>
      <w:r w:rsidRPr="00231F59">
        <w:rPr>
          <w:rFonts w:ascii="Century Gothic" w:eastAsiaTheme="minorHAnsi" w:hAnsi="Century Gothic" w:cs="Verdana"/>
          <w:color w:val="000000"/>
        </w:rPr>
        <w:t xml:space="preserve"> para </w:t>
      </w:r>
      <w:r>
        <w:rPr>
          <w:rFonts w:ascii="Century Gothic" w:eastAsiaTheme="minorHAnsi" w:hAnsi="Century Gothic" w:cs="Verdana"/>
          <w:color w:val="000000"/>
        </w:rPr>
        <w:t>0,64%</w:t>
      </w:r>
      <w:r w:rsidRPr="00231F59">
        <w:rPr>
          <w:rFonts w:ascii="Century Gothic" w:eastAsiaTheme="minorHAnsi" w:hAnsi="Century Gothic" w:cs="Verdana"/>
          <w:color w:val="000000"/>
        </w:rPr>
        <w:t xml:space="preserve"> no mês de setembro, influenciada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231F59">
        <w:rPr>
          <w:rFonts w:ascii="Century Gothic" w:eastAsiaTheme="minorHAnsi" w:hAnsi="Century Gothic" w:cs="Verdana"/>
          <w:color w:val="000000"/>
        </w:rPr>
        <w:t>principalmente, pelo choque dos preços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231F59">
        <w:rPr>
          <w:rFonts w:ascii="Century Gothic" w:eastAsiaTheme="minorHAnsi" w:hAnsi="Century Gothic" w:cs="Verdana"/>
          <w:color w:val="000000"/>
        </w:rPr>
        <w:t>de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="000E73BB" w:rsidRPr="00231F59">
        <w:rPr>
          <w:rFonts w:ascii="Century Gothic" w:eastAsiaTheme="minorHAnsi" w:hAnsi="Century Gothic" w:cs="Verdana"/>
          <w:color w:val="000000"/>
        </w:rPr>
        <w:t>alimentos em</w:t>
      </w:r>
      <w:r w:rsidRPr="00231F59">
        <w:rPr>
          <w:rFonts w:ascii="Century Gothic" w:eastAsiaTheme="minorHAnsi" w:hAnsi="Century Gothic" w:cs="Verdana"/>
          <w:color w:val="000000"/>
        </w:rPr>
        <w:t xml:space="preserve"> 12 meses, o IPCA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231F59">
        <w:rPr>
          <w:rFonts w:ascii="Century Gothic" w:eastAsiaTheme="minorHAnsi" w:hAnsi="Century Gothic" w:cs="Verdana"/>
          <w:color w:val="000000"/>
        </w:rPr>
        <w:t>acumula alta de 3</w:t>
      </w:r>
      <w:r>
        <w:rPr>
          <w:rFonts w:ascii="Century Gothic" w:eastAsiaTheme="minorHAnsi" w:hAnsi="Century Gothic" w:cs="Verdana"/>
          <w:color w:val="000000"/>
        </w:rPr>
        <w:t>,</w:t>
      </w:r>
      <w:r w:rsidRPr="00231F59">
        <w:rPr>
          <w:rFonts w:ascii="Century Gothic" w:eastAsiaTheme="minorHAnsi" w:hAnsi="Century Gothic" w:cs="Verdana"/>
          <w:color w:val="000000"/>
        </w:rPr>
        <w:t>14 %</w:t>
      </w:r>
      <w:r>
        <w:rPr>
          <w:rFonts w:ascii="Century Gothic" w:eastAsiaTheme="minorHAnsi" w:hAnsi="Century Gothic" w:cs="Verdana"/>
          <w:color w:val="000000"/>
        </w:rPr>
        <w:t xml:space="preserve">aa. </w:t>
      </w:r>
      <w:r w:rsidRPr="00231F59">
        <w:rPr>
          <w:rFonts w:ascii="Century Gothic" w:eastAsiaTheme="minorHAnsi" w:hAnsi="Century Gothic" w:cs="Verdana"/>
          <w:color w:val="000000"/>
        </w:rPr>
        <w:t>Com relação à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231F59">
        <w:rPr>
          <w:rFonts w:ascii="Century Gothic" w:eastAsiaTheme="minorHAnsi" w:hAnsi="Century Gothic" w:cs="Verdana"/>
          <w:color w:val="000000"/>
        </w:rPr>
        <w:t>atividade, o resultado final do PIB dos EUA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231F59">
        <w:rPr>
          <w:rFonts w:ascii="Century Gothic" w:eastAsiaTheme="minorHAnsi" w:hAnsi="Century Gothic" w:cs="Verdana"/>
          <w:color w:val="000000"/>
        </w:rPr>
        <w:t xml:space="preserve">no 2 T 2020 foi revisado de </w:t>
      </w:r>
      <w:r>
        <w:rPr>
          <w:rFonts w:ascii="Century Gothic" w:eastAsiaTheme="minorHAnsi" w:hAnsi="Century Gothic" w:cs="Verdana"/>
          <w:color w:val="000000"/>
        </w:rPr>
        <w:t>-</w:t>
      </w:r>
      <w:r w:rsidRPr="00231F59">
        <w:rPr>
          <w:rFonts w:ascii="Century Gothic" w:eastAsiaTheme="minorHAnsi" w:hAnsi="Century Gothic" w:cs="Verdana"/>
          <w:color w:val="000000"/>
        </w:rPr>
        <w:t>32</w:t>
      </w:r>
      <w:r>
        <w:rPr>
          <w:rFonts w:ascii="Century Gothic" w:eastAsiaTheme="minorHAnsi" w:hAnsi="Century Gothic" w:cs="Verdana"/>
          <w:color w:val="000000"/>
        </w:rPr>
        <w:t>,</w:t>
      </w:r>
      <w:r w:rsidRPr="00231F59">
        <w:rPr>
          <w:rFonts w:ascii="Century Gothic" w:eastAsiaTheme="minorHAnsi" w:hAnsi="Century Gothic" w:cs="Verdana"/>
          <w:color w:val="000000"/>
        </w:rPr>
        <w:t>9 %</w:t>
      </w:r>
      <w:r>
        <w:rPr>
          <w:rFonts w:ascii="Century Gothic" w:eastAsiaTheme="minorHAnsi" w:hAnsi="Century Gothic" w:cs="Verdana"/>
          <w:color w:val="000000"/>
        </w:rPr>
        <w:t>(</w:t>
      </w:r>
      <w:r w:rsidRPr="00231F59">
        <w:rPr>
          <w:rFonts w:ascii="Century Gothic" w:eastAsiaTheme="minorHAnsi" w:hAnsi="Century Gothic" w:cs="Verdana"/>
          <w:color w:val="000000"/>
        </w:rPr>
        <w:t xml:space="preserve">base anualizada) para </w:t>
      </w:r>
      <w:r w:rsidR="00A97B29">
        <w:rPr>
          <w:rFonts w:ascii="Century Gothic" w:eastAsiaTheme="minorHAnsi" w:hAnsi="Century Gothic" w:cs="Verdana"/>
          <w:color w:val="000000"/>
        </w:rPr>
        <w:t>-</w:t>
      </w:r>
      <w:r w:rsidRPr="00231F59">
        <w:rPr>
          <w:rFonts w:ascii="Century Gothic" w:eastAsiaTheme="minorHAnsi" w:hAnsi="Century Gothic" w:cs="Verdana"/>
          <w:color w:val="000000"/>
        </w:rPr>
        <w:t>31</w:t>
      </w:r>
      <w:r>
        <w:rPr>
          <w:rFonts w:ascii="Century Gothic" w:eastAsiaTheme="minorHAnsi" w:hAnsi="Century Gothic" w:cs="Verdana"/>
          <w:color w:val="000000"/>
        </w:rPr>
        <w:t>,</w:t>
      </w:r>
      <w:r w:rsidRPr="00231F59">
        <w:rPr>
          <w:rFonts w:ascii="Century Gothic" w:eastAsiaTheme="minorHAnsi" w:hAnsi="Century Gothic" w:cs="Verdana"/>
          <w:color w:val="000000"/>
        </w:rPr>
        <w:t>4</w:t>
      </w:r>
      <w:r>
        <w:rPr>
          <w:rFonts w:ascii="Century Gothic" w:eastAsiaTheme="minorHAnsi" w:hAnsi="Century Gothic" w:cs="Verdana"/>
          <w:color w:val="000000"/>
        </w:rPr>
        <w:t>%aa.</w:t>
      </w:r>
    </w:p>
    <w:p w14:paraId="7A05407A" w14:textId="15CC5D0D" w:rsidR="00231F59" w:rsidRDefault="00A97B29" w:rsidP="00A97B29">
      <w:pPr>
        <w:autoSpaceDE w:val="0"/>
        <w:autoSpaceDN w:val="0"/>
        <w:adjustRightInd w:val="0"/>
        <w:spacing w:line="240" w:lineRule="auto"/>
        <w:rPr>
          <w:rFonts w:ascii="Century Gothic" w:eastAsiaTheme="minorHAnsi" w:hAnsi="Century Gothic" w:cs="Verdana"/>
          <w:color w:val="000000"/>
        </w:rPr>
      </w:pPr>
      <w:r w:rsidRPr="00A97B29">
        <w:rPr>
          <w:rFonts w:ascii="Century Gothic" w:eastAsiaTheme="minorHAnsi" w:hAnsi="Century Gothic" w:cs="Verdana"/>
          <w:color w:val="000000"/>
        </w:rPr>
        <w:t>Acerca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>da atividade, o resultado final para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>o PIB do 2 T 2020 na Zona do Euro,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 xml:space="preserve">confirmou a variação de </w:t>
      </w:r>
      <w:r>
        <w:rPr>
          <w:rFonts w:ascii="Century Gothic" w:eastAsiaTheme="minorHAnsi" w:hAnsi="Century Gothic" w:cs="Verdana"/>
          <w:color w:val="000000"/>
        </w:rPr>
        <w:t>-</w:t>
      </w:r>
      <w:r w:rsidRPr="00A97B29">
        <w:rPr>
          <w:rFonts w:ascii="Century Gothic" w:eastAsiaTheme="minorHAnsi" w:hAnsi="Century Gothic" w:cs="Verdana"/>
          <w:color w:val="000000"/>
        </w:rPr>
        <w:t>11</w:t>
      </w:r>
      <w:r>
        <w:rPr>
          <w:rFonts w:ascii="Century Gothic" w:eastAsiaTheme="minorHAnsi" w:hAnsi="Century Gothic" w:cs="Verdana"/>
          <w:color w:val="000000"/>
        </w:rPr>
        <w:t>,</w:t>
      </w:r>
      <w:r w:rsidRPr="00A97B29">
        <w:rPr>
          <w:rFonts w:ascii="Century Gothic" w:eastAsiaTheme="minorHAnsi" w:hAnsi="Century Gothic" w:cs="Verdana"/>
          <w:color w:val="000000"/>
        </w:rPr>
        <w:t>8 %%</w:t>
      </w:r>
      <w:r>
        <w:rPr>
          <w:rFonts w:ascii="Century Gothic" w:eastAsiaTheme="minorHAnsi" w:hAnsi="Century Gothic" w:cs="Verdana"/>
          <w:color w:val="000000"/>
        </w:rPr>
        <w:t>.</w:t>
      </w:r>
    </w:p>
    <w:p w14:paraId="4F83DB0F" w14:textId="77777777" w:rsidR="00A97B29" w:rsidRDefault="00A97B29" w:rsidP="00231F59">
      <w:pPr>
        <w:autoSpaceDE w:val="0"/>
        <w:autoSpaceDN w:val="0"/>
        <w:adjustRightInd w:val="0"/>
        <w:spacing w:line="240" w:lineRule="auto"/>
        <w:rPr>
          <w:rFonts w:ascii="Century Gothic" w:eastAsiaTheme="minorHAnsi" w:hAnsi="Century Gothic" w:cs="Verdana"/>
          <w:color w:val="000000"/>
        </w:rPr>
      </w:pPr>
      <w:r w:rsidRPr="00A97B29">
        <w:rPr>
          <w:rFonts w:ascii="Century Gothic" w:eastAsiaTheme="minorHAnsi" w:hAnsi="Century Gothic" w:cs="Verdana"/>
          <w:color w:val="000000"/>
        </w:rPr>
        <w:t>A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>China tem mantido o ritmo de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>recuperação mais acelerado que as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>principais economias do mundo, com a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>atividade seguindo em expansão, mesmo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>que de maneira mais moderada No Japão,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>o resultado final do PIB do 2 T 2020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 xml:space="preserve">apresentou uma variação de </w:t>
      </w:r>
      <w:r>
        <w:rPr>
          <w:rFonts w:ascii="Century Gothic" w:eastAsiaTheme="minorHAnsi" w:hAnsi="Century Gothic" w:cs="Verdana"/>
          <w:color w:val="000000"/>
        </w:rPr>
        <w:t>-</w:t>
      </w:r>
      <w:r w:rsidRPr="00A97B29">
        <w:rPr>
          <w:rFonts w:ascii="Century Gothic" w:eastAsiaTheme="minorHAnsi" w:hAnsi="Century Gothic" w:cs="Verdana"/>
          <w:color w:val="000000"/>
        </w:rPr>
        <w:t>7</w:t>
      </w:r>
      <w:r>
        <w:rPr>
          <w:rFonts w:ascii="Century Gothic" w:eastAsiaTheme="minorHAnsi" w:hAnsi="Century Gothic" w:cs="Verdana"/>
          <w:color w:val="000000"/>
        </w:rPr>
        <w:t>,</w:t>
      </w:r>
      <w:r w:rsidRPr="00A97B29">
        <w:rPr>
          <w:rFonts w:ascii="Century Gothic" w:eastAsiaTheme="minorHAnsi" w:hAnsi="Century Gothic" w:cs="Verdana"/>
          <w:color w:val="000000"/>
        </w:rPr>
        <w:t xml:space="preserve">9 </w:t>
      </w:r>
      <w:r>
        <w:rPr>
          <w:rFonts w:ascii="Century Gothic" w:eastAsiaTheme="minorHAnsi" w:hAnsi="Century Gothic" w:cs="Verdana"/>
          <w:color w:val="000000"/>
        </w:rPr>
        <w:t>%.</w:t>
      </w:r>
    </w:p>
    <w:p w14:paraId="21886247" w14:textId="749FBB70" w:rsidR="00231F59" w:rsidRDefault="00231F59" w:rsidP="00231F59">
      <w:pPr>
        <w:autoSpaceDE w:val="0"/>
        <w:autoSpaceDN w:val="0"/>
        <w:adjustRightInd w:val="0"/>
        <w:spacing w:line="240" w:lineRule="auto"/>
        <w:rPr>
          <w:rFonts w:ascii="Century Gothic" w:eastAsiaTheme="minorHAnsi" w:hAnsi="Century Gothic" w:cs="Verdana"/>
          <w:color w:val="000000"/>
        </w:rPr>
      </w:pPr>
      <w:r w:rsidRPr="00231F59">
        <w:rPr>
          <w:rFonts w:ascii="Century Gothic" w:eastAsiaTheme="minorHAnsi" w:hAnsi="Century Gothic" w:cs="Verdana"/>
          <w:color w:val="000000"/>
        </w:rPr>
        <w:t>Em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231F59">
        <w:rPr>
          <w:rFonts w:ascii="Century Gothic" w:eastAsiaTheme="minorHAnsi" w:hAnsi="Century Gothic" w:cs="Verdana"/>
          <w:color w:val="000000"/>
        </w:rPr>
        <w:t>setembro, de acordo com Organização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231F59">
        <w:rPr>
          <w:rFonts w:ascii="Century Gothic" w:eastAsiaTheme="minorHAnsi" w:hAnsi="Century Gothic" w:cs="Verdana"/>
          <w:color w:val="000000"/>
        </w:rPr>
        <w:t>Mundial da Saúde, a pandemia de COVID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231F59">
        <w:rPr>
          <w:rFonts w:ascii="Century Gothic" w:eastAsiaTheme="minorHAnsi" w:hAnsi="Century Gothic" w:cs="Verdana"/>
          <w:color w:val="000000"/>
        </w:rPr>
        <w:t xml:space="preserve">19 alcançou um total de </w:t>
      </w:r>
      <w:r w:rsidR="000E73BB">
        <w:rPr>
          <w:rFonts w:ascii="Century Gothic" w:eastAsiaTheme="minorHAnsi" w:hAnsi="Century Gothic" w:cs="Verdana"/>
          <w:color w:val="000000"/>
        </w:rPr>
        <w:t>40milhões</w:t>
      </w:r>
      <w:r w:rsidRPr="00231F59">
        <w:rPr>
          <w:rFonts w:ascii="Century Gothic" w:eastAsiaTheme="minorHAnsi" w:hAnsi="Century Gothic" w:cs="Verdana"/>
          <w:color w:val="000000"/>
        </w:rPr>
        <w:t xml:space="preserve"> casos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231F59">
        <w:rPr>
          <w:rFonts w:ascii="Century Gothic" w:eastAsiaTheme="minorHAnsi" w:hAnsi="Century Gothic" w:cs="Verdana"/>
          <w:color w:val="000000"/>
        </w:rPr>
        <w:t xml:space="preserve">e </w:t>
      </w:r>
      <w:r>
        <w:rPr>
          <w:rFonts w:ascii="Century Gothic" w:eastAsiaTheme="minorHAnsi" w:hAnsi="Century Gothic" w:cs="Verdana"/>
          <w:color w:val="000000"/>
        </w:rPr>
        <w:t>1.</w:t>
      </w:r>
      <w:r w:rsidR="000E73BB">
        <w:rPr>
          <w:rFonts w:ascii="Century Gothic" w:eastAsiaTheme="minorHAnsi" w:hAnsi="Century Gothic" w:cs="Verdana"/>
          <w:color w:val="000000"/>
        </w:rPr>
        <w:t>1milões</w:t>
      </w:r>
      <w:r w:rsidRPr="00231F59">
        <w:rPr>
          <w:rFonts w:ascii="Century Gothic" w:eastAsiaTheme="minorHAnsi" w:hAnsi="Century Gothic" w:cs="Verdana"/>
          <w:color w:val="000000"/>
        </w:rPr>
        <w:t xml:space="preserve"> óbitos Os Estados Unidos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231F59">
        <w:rPr>
          <w:rFonts w:ascii="Century Gothic" w:eastAsiaTheme="minorHAnsi" w:hAnsi="Century Gothic" w:cs="Verdana"/>
          <w:color w:val="000000"/>
        </w:rPr>
        <w:t>ainda concentram a maior parcela desse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231F59">
        <w:rPr>
          <w:rFonts w:ascii="Century Gothic" w:eastAsiaTheme="minorHAnsi" w:hAnsi="Century Gothic" w:cs="Verdana"/>
          <w:color w:val="000000"/>
        </w:rPr>
        <w:t>montante, totalizando 7</w:t>
      </w:r>
      <w:r>
        <w:rPr>
          <w:rFonts w:ascii="Century Gothic" w:eastAsiaTheme="minorHAnsi" w:hAnsi="Century Gothic" w:cs="Verdana"/>
          <w:color w:val="000000"/>
        </w:rPr>
        <w:t>.</w:t>
      </w:r>
      <w:r w:rsidRPr="00231F59">
        <w:rPr>
          <w:rFonts w:ascii="Century Gothic" w:eastAsiaTheme="minorHAnsi" w:hAnsi="Century Gothic" w:cs="Verdana"/>
          <w:color w:val="000000"/>
        </w:rPr>
        <w:t>077</w:t>
      </w:r>
      <w:r>
        <w:rPr>
          <w:rFonts w:ascii="Century Gothic" w:eastAsiaTheme="minorHAnsi" w:hAnsi="Century Gothic" w:cs="Verdana"/>
          <w:color w:val="000000"/>
        </w:rPr>
        <w:t>.</w:t>
      </w:r>
      <w:r w:rsidRPr="00231F59">
        <w:rPr>
          <w:rFonts w:ascii="Century Gothic" w:eastAsiaTheme="minorHAnsi" w:hAnsi="Century Gothic" w:cs="Verdana"/>
          <w:color w:val="000000"/>
        </w:rPr>
        <w:t>015 de casos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231F59">
        <w:rPr>
          <w:rFonts w:ascii="Century Gothic" w:eastAsiaTheme="minorHAnsi" w:hAnsi="Century Gothic" w:cs="Verdana"/>
          <w:color w:val="000000"/>
        </w:rPr>
        <w:t>e 203</w:t>
      </w:r>
      <w:r>
        <w:rPr>
          <w:rFonts w:ascii="Century Gothic" w:eastAsiaTheme="minorHAnsi" w:hAnsi="Century Gothic" w:cs="Verdana"/>
          <w:color w:val="000000"/>
        </w:rPr>
        <w:t>.</w:t>
      </w:r>
      <w:r w:rsidRPr="00231F59">
        <w:rPr>
          <w:rFonts w:ascii="Century Gothic" w:eastAsiaTheme="minorHAnsi" w:hAnsi="Century Gothic" w:cs="Verdana"/>
          <w:color w:val="000000"/>
        </w:rPr>
        <w:t>875 mortes</w:t>
      </w:r>
      <w:r>
        <w:rPr>
          <w:rFonts w:ascii="Century Gothic" w:eastAsiaTheme="minorHAnsi" w:hAnsi="Century Gothic" w:cs="Verdana"/>
          <w:color w:val="000000"/>
        </w:rPr>
        <w:t>.</w:t>
      </w:r>
      <w:r w:rsidR="000E73BB">
        <w:rPr>
          <w:rFonts w:ascii="Century Gothic" w:eastAsiaTheme="minorHAnsi" w:hAnsi="Century Gothic" w:cs="Verdana"/>
          <w:color w:val="000000"/>
        </w:rPr>
        <w:t xml:space="preserve"> No Brasil já ultrapassamos os 5milhões de casos e mais de 150mil óbitos. </w:t>
      </w:r>
    </w:p>
    <w:p w14:paraId="60B056FE" w14:textId="100DB397" w:rsidR="00A97B29" w:rsidRPr="00A97B29" w:rsidRDefault="00A97B29" w:rsidP="00A97B29">
      <w:pPr>
        <w:autoSpaceDE w:val="0"/>
        <w:autoSpaceDN w:val="0"/>
        <w:adjustRightInd w:val="0"/>
        <w:spacing w:line="240" w:lineRule="auto"/>
        <w:rPr>
          <w:rFonts w:ascii="Century Gothic" w:eastAsiaTheme="minorHAnsi" w:hAnsi="Century Gothic" w:cs="Verdana"/>
          <w:color w:val="000000"/>
        </w:rPr>
      </w:pPr>
      <w:r w:rsidRPr="00A97B29">
        <w:rPr>
          <w:rFonts w:ascii="Century Gothic" w:eastAsiaTheme="minorHAnsi" w:hAnsi="Century Gothic" w:cs="Verdana"/>
          <w:color w:val="000000"/>
        </w:rPr>
        <w:t>Na Europa, uma segunda onda da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>COVID 19 causou alta acentuada do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>contágio na Espanha, França e no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>Reino Unido, onde o número de casos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>diários já supera o observado na fase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>mais aguda da primeira onda, apesar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>do número de mortes ser</w:t>
      </w:r>
    </w:p>
    <w:p w14:paraId="4E98DD63" w14:textId="5D746286" w:rsidR="00231F59" w:rsidRDefault="00A97B29" w:rsidP="005855C0">
      <w:pPr>
        <w:autoSpaceDE w:val="0"/>
        <w:autoSpaceDN w:val="0"/>
        <w:adjustRightInd w:val="0"/>
        <w:spacing w:line="240" w:lineRule="auto"/>
        <w:rPr>
          <w:rFonts w:ascii="Century Gothic" w:eastAsiaTheme="minorHAnsi" w:hAnsi="Century Gothic" w:cs="Verdana"/>
          <w:color w:val="000000"/>
        </w:rPr>
      </w:pPr>
      <w:r w:rsidRPr="00A97B29">
        <w:rPr>
          <w:rFonts w:ascii="Century Gothic" w:eastAsiaTheme="minorHAnsi" w:hAnsi="Century Gothic" w:cs="Verdana"/>
          <w:color w:val="000000"/>
        </w:rPr>
        <w:t>significativamente mais baixo. Na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>América Latina, a queda no número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>de novos casos no Brasil e no México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>tem mostrado moderação.</w:t>
      </w:r>
    </w:p>
    <w:p w14:paraId="5C85D0AE" w14:textId="690700C3" w:rsidR="00092656" w:rsidRDefault="00A97B29" w:rsidP="00A97B29">
      <w:pPr>
        <w:autoSpaceDE w:val="0"/>
        <w:autoSpaceDN w:val="0"/>
        <w:adjustRightInd w:val="0"/>
        <w:spacing w:line="240" w:lineRule="auto"/>
        <w:rPr>
          <w:rFonts w:ascii="Century Gothic" w:eastAsiaTheme="minorHAnsi" w:hAnsi="Century Gothic" w:cs="Verdana"/>
          <w:color w:val="000000"/>
        </w:rPr>
      </w:pPr>
      <w:r w:rsidRPr="00A97B29">
        <w:rPr>
          <w:rFonts w:ascii="Century Gothic" w:eastAsiaTheme="minorHAnsi" w:hAnsi="Century Gothic" w:cs="Verdana"/>
          <w:color w:val="000000"/>
        </w:rPr>
        <w:t>Se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>em agosto tivemos um mês agitado no mercado de juros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>locais, setembro não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>foi diferente</w:t>
      </w:r>
      <w:r>
        <w:rPr>
          <w:rFonts w:ascii="Century Gothic" w:eastAsiaTheme="minorHAnsi" w:hAnsi="Century Gothic" w:cs="Verdana"/>
          <w:color w:val="000000"/>
        </w:rPr>
        <w:t xml:space="preserve">. </w:t>
      </w:r>
      <w:r w:rsidRPr="00A97B29">
        <w:rPr>
          <w:rFonts w:ascii="Century Gothic" w:eastAsiaTheme="minorHAnsi" w:hAnsi="Century Gothic" w:cs="Verdana"/>
          <w:color w:val="000000"/>
        </w:rPr>
        <w:t>No dia 16 o COPOM decidiu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>por manter a SELIC em 2</w:t>
      </w:r>
      <w:r w:rsidR="00C31874">
        <w:rPr>
          <w:rFonts w:ascii="Century Gothic" w:eastAsiaTheme="minorHAnsi" w:hAnsi="Century Gothic" w:cs="Verdana"/>
          <w:color w:val="000000"/>
        </w:rPr>
        <w:t>%</w:t>
      </w:r>
      <w:r w:rsidRPr="00A97B29">
        <w:rPr>
          <w:rFonts w:ascii="Century Gothic" w:eastAsiaTheme="minorHAnsi" w:hAnsi="Century Gothic" w:cs="Verdana"/>
          <w:color w:val="000000"/>
        </w:rPr>
        <w:t xml:space="preserve"> (amplamente esperado)</w:t>
      </w:r>
      <w:r w:rsidR="00C31874">
        <w:rPr>
          <w:rFonts w:ascii="Century Gothic" w:eastAsiaTheme="minorHAnsi" w:hAnsi="Century Gothic" w:cs="Verdana"/>
          <w:color w:val="000000"/>
        </w:rPr>
        <w:t>.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 xml:space="preserve">Novamente o mercado não comprou o tom </w:t>
      </w:r>
      <w:proofErr w:type="spellStart"/>
      <w:r w:rsidRPr="00A97B29">
        <w:rPr>
          <w:rFonts w:ascii="Century Gothic" w:eastAsiaTheme="minorHAnsi" w:hAnsi="Century Gothic" w:cs="Verdana"/>
          <w:color w:val="000000"/>
        </w:rPr>
        <w:t>dovish</w:t>
      </w:r>
      <w:proofErr w:type="spellEnd"/>
      <w:r w:rsidRPr="00A97B29">
        <w:rPr>
          <w:rFonts w:ascii="Century Gothic" w:eastAsiaTheme="minorHAnsi" w:hAnsi="Century Gothic" w:cs="Verdana"/>
          <w:color w:val="000000"/>
        </w:rPr>
        <w:t xml:space="preserve"> do Comitê, em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>mais um mês em que os riscos fiscais e inflacionários dominaram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>as discussões no âmbito local e fizeram preço</w:t>
      </w:r>
      <w:r w:rsidR="00C31874">
        <w:rPr>
          <w:rFonts w:ascii="Century Gothic" w:eastAsiaTheme="minorHAnsi" w:hAnsi="Century Gothic" w:cs="Verdana"/>
          <w:color w:val="000000"/>
        </w:rPr>
        <w:t>.</w:t>
      </w:r>
      <w:r w:rsidRPr="00A97B29">
        <w:rPr>
          <w:rFonts w:ascii="Century Gothic" w:eastAsiaTheme="minorHAnsi" w:hAnsi="Century Gothic" w:cs="Verdana"/>
          <w:color w:val="000000"/>
        </w:rPr>
        <w:t xml:space="preserve"> Diante disso, em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>setembro, vimos a continuidade do movimento de abertura, com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>inclinação, nas curvas de juros no Brasil</w:t>
      </w:r>
      <w:r w:rsidR="00C31874">
        <w:rPr>
          <w:rFonts w:ascii="Century Gothic" w:eastAsiaTheme="minorHAnsi" w:hAnsi="Century Gothic" w:cs="Verdana"/>
          <w:color w:val="000000"/>
        </w:rPr>
        <w:t>.</w:t>
      </w:r>
      <w:r w:rsidRPr="00A97B29">
        <w:rPr>
          <w:rFonts w:ascii="Century Gothic" w:eastAsiaTheme="minorHAnsi" w:hAnsi="Century Gothic" w:cs="Verdana"/>
          <w:color w:val="000000"/>
        </w:rPr>
        <w:t xml:space="preserve"> Apesar dos intensos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>movimentos observados nos papéis prefixados e nos atrelados à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>inflação, o que realmente surpreendeu o mercado em setembro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>foi o forte deságio sofrido pelas LFT ao longo do mês, papel que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>até então era visto quase como “livre de risco”</w:t>
      </w:r>
      <w:r w:rsidR="00C31874">
        <w:rPr>
          <w:rFonts w:ascii="Century Gothic" w:eastAsiaTheme="minorHAnsi" w:hAnsi="Century Gothic" w:cs="Verdana"/>
          <w:color w:val="000000"/>
        </w:rPr>
        <w:t>.</w:t>
      </w:r>
      <w:r w:rsidRPr="00A97B29">
        <w:rPr>
          <w:rFonts w:ascii="Century Gothic" w:eastAsiaTheme="minorHAnsi" w:hAnsi="Century Gothic" w:cs="Verdana"/>
          <w:color w:val="000000"/>
        </w:rPr>
        <w:t xml:space="preserve"> Isso se deu,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>principalmente, pela atuação do Tesouro a partir da segunda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>dezena de setembro, que passou a aceitar propostas com preços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>mais agressivos</w:t>
      </w:r>
      <w:r w:rsidR="00C31874">
        <w:rPr>
          <w:rFonts w:ascii="Century Gothic" w:eastAsiaTheme="minorHAnsi" w:hAnsi="Century Gothic" w:cs="Verdana"/>
          <w:color w:val="000000"/>
        </w:rPr>
        <w:t>.</w:t>
      </w:r>
      <w:r w:rsidRPr="00A97B29">
        <w:rPr>
          <w:rFonts w:ascii="Century Gothic" w:eastAsiaTheme="minorHAnsi" w:hAnsi="Century Gothic" w:cs="Verdana"/>
          <w:color w:val="000000"/>
        </w:rPr>
        <w:t xml:space="preserve"> Neste contexto, os papéis soberanos pós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>fixados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>começaram a sofrer relevantes marcações, que secaram a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>demanda no mercado por eles, criando um círculo vicioso, onde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>algumas poucas vendas dos papéis, em conjunto com novas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>emissões no primário e demanda escassa, retroalimentam o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>deságio e a consequente marcação negativa nas carteiras</w:t>
      </w:r>
      <w:r w:rsidR="00E922E6"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>investidas</w:t>
      </w:r>
      <w:r w:rsidR="00C31874">
        <w:rPr>
          <w:rFonts w:ascii="Century Gothic" w:eastAsiaTheme="minorHAnsi" w:hAnsi="Century Gothic" w:cs="Verdana"/>
          <w:color w:val="000000"/>
        </w:rPr>
        <w:t>.</w:t>
      </w:r>
      <w:r w:rsidR="00E922E6"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>Os movimentos comentados acima impactaram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>novamente de forma negativa os resultados dos subíndices de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>Renda Fixa da ANBIMA em setembro</w:t>
      </w:r>
      <w:r w:rsidR="00C31874">
        <w:rPr>
          <w:rFonts w:ascii="Century Gothic" w:eastAsiaTheme="minorHAnsi" w:hAnsi="Century Gothic" w:cs="Verdana"/>
          <w:color w:val="000000"/>
        </w:rPr>
        <w:t>.</w:t>
      </w:r>
      <w:r w:rsidRPr="00A97B29">
        <w:rPr>
          <w:rFonts w:ascii="Century Gothic" w:eastAsiaTheme="minorHAnsi" w:hAnsi="Century Gothic" w:cs="Verdana"/>
          <w:color w:val="000000"/>
        </w:rPr>
        <w:t xml:space="preserve"> Nenhuma carteira teórica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 xml:space="preserve">superou o CDI no mês e, apesar de a </w:t>
      </w:r>
      <w:r w:rsidRPr="00C31874">
        <w:rPr>
          <w:rFonts w:ascii="Century Gothic" w:eastAsiaTheme="minorHAnsi" w:hAnsi="Century Gothic" w:cs="Verdana"/>
          <w:color w:val="000000"/>
          <w:u w:val="single"/>
        </w:rPr>
        <w:t>maioria ter entregue retornos negativos em setembro,</w:t>
      </w:r>
      <w:r w:rsidRPr="00A97B29">
        <w:rPr>
          <w:rFonts w:ascii="Century Gothic" w:eastAsiaTheme="minorHAnsi" w:hAnsi="Century Gothic" w:cs="Verdana"/>
          <w:color w:val="000000"/>
        </w:rPr>
        <w:t xml:space="preserve"> o destaque aqui fica novamente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>por conta das LFT, cujo subíndice (IMA S) que costuma ficar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 xml:space="preserve">próximo ao CDI, teve retorno </w:t>
      </w:r>
      <w:r w:rsidR="00C31874">
        <w:rPr>
          <w:rFonts w:ascii="Century Gothic" w:eastAsiaTheme="minorHAnsi" w:hAnsi="Century Gothic" w:cs="Verdana"/>
          <w:color w:val="000000"/>
        </w:rPr>
        <w:t xml:space="preserve">negativo </w:t>
      </w:r>
      <w:r w:rsidRPr="00A97B29">
        <w:rPr>
          <w:rFonts w:ascii="Century Gothic" w:eastAsiaTheme="minorHAnsi" w:hAnsi="Century Gothic" w:cs="Verdana"/>
          <w:color w:val="000000"/>
        </w:rPr>
        <w:t xml:space="preserve">de </w:t>
      </w:r>
      <w:r w:rsidR="00C31874">
        <w:rPr>
          <w:rFonts w:ascii="Century Gothic" w:eastAsiaTheme="minorHAnsi" w:hAnsi="Century Gothic" w:cs="Verdana"/>
          <w:color w:val="000000"/>
        </w:rPr>
        <w:t>-</w:t>
      </w:r>
      <w:r w:rsidRPr="00A97B29">
        <w:rPr>
          <w:rFonts w:ascii="Century Gothic" w:eastAsiaTheme="minorHAnsi" w:hAnsi="Century Gothic" w:cs="Verdana"/>
          <w:color w:val="000000"/>
        </w:rPr>
        <w:t>0</w:t>
      </w:r>
      <w:r w:rsidR="00C31874">
        <w:rPr>
          <w:rFonts w:ascii="Century Gothic" w:eastAsiaTheme="minorHAnsi" w:hAnsi="Century Gothic" w:cs="Verdana"/>
          <w:color w:val="000000"/>
        </w:rPr>
        <w:t>,</w:t>
      </w:r>
      <w:r w:rsidRPr="00A97B29">
        <w:rPr>
          <w:rFonts w:ascii="Century Gothic" w:eastAsiaTheme="minorHAnsi" w:hAnsi="Century Gothic" w:cs="Verdana"/>
          <w:color w:val="000000"/>
        </w:rPr>
        <w:t>27</w:t>
      </w:r>
      <w:r w:rsidR="00C31874">
        <w:rPr>
          <w:rFonts w:ascii="Century Gothic" w:eastAsiaTheme="minorHAnsi" w:hAnsi="Century Gothic" w:cs="Verdana"/>
          <w:color w:val="000000"/>
        </w:rPr>
        <w:t>%,</w:t>
      </w:r>
      <w:r w:rsidRPr="00A97B29">
        <w:rPr>
          <w:rFonts w:ascii="Century Gothic" w:eastAsiaTheme="minorHAnsi" w:hAnsi="Century Gothic" w:cs="Verdana"/>
          <w:color w:val="000000"/>
        </w:rPr>
        <w:t xml:space="preserve"> em função do deságio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A97B29">
        <w:rPr>
          <w:rFonts w:ascii="Century Gothic" w:eastAsiaTheme="minorHAnsi" w:hAnsi="Century Gothic" w:cs="Verdana"/>
          <w:color w:val="000000"/>
        </w:rPr>
        <w:t>sofrido pelos papéis tidos como “livres de risco”</w:t>
      </w:r>
      <w:r w:rsidR="00C31874">
        <w:rPr>
          <w:rFonts w:ascii="Century Gothic" w:eastAsiaTheme="minorHAnsi" w:hAnsi="Century Gothic" w:cs="Verdana"/>
          <w:color w:val="000000"/>
        </w:rPr>
        <w:t>.</w:t>
      </w:r>
    </w:p>
    <w:p w14:paraId="0CFBA973" w14:textId="54B9F54C" w:rsidR="00A97B29" w:rsidRDefault="00092656" w:rsidP="00FC6BEF">
      <w:pPr>
        <w:autoSpaceDE w:val="0"/>
        <w:autoSpaceDN w:val="0"/>
        <w:adjustRightInd w:val="0"/>
        <w:spacing w:line="240" w:lineRule="auto"/>
        <w:rPr>
          <w:rFonts w:ascii="Century Gothic" w:eastAsiaTheme="minorHAnsi" w:hAnsi="Century Gothic" w:cs="Verdana,Bold"/>
        </w:rPr>
      </w:pPr>
      <w:r w:rsidRPr="00092656">
        <w:rPr>
          <w:rFonts w:ascii="Century Gothic" w:eastAsiaTheme="minorHAnsi" w:hAnsi="Century Gothic" w:cs="Verdana"/>
          <w:color w:val="000000"/>
        </w:rPr>
        <w:t>Em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092656">
        <w:rPr>
          <w:rFonts w:ascii="Century Gothic" w:eastAsiaTheme="minorHAnsi" w:hAnsi="Century Gothic" w:cs="Verdana"/>
          <w:color w:val="000000"/>
        </w:rPr>
        <w:t>termos de perspectivas, é importante separarmos as janelas de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092656">
        <w:rPr>
          <w:rFonts w:ascii="Century Gothic" w:eastAsiaTheme="minorHAnsi" w:hAnsi="Century Gothic" w:cs="Verdana"/>
          <w:color w:val="000000"/>
        </w:rPr>
        <w:t>tempo</w:t>
      </w:r>
      <w:r>
        <w:rPr>
          <w:rFonts w:ascii="Century Gothic" w:eastAsiaTheme="minorHAnsi" w:hAnsi="Century Gothic" w:cs="Verdana"/>
          <w:color w:val="000000"/>
        </w:rPr>
        <w:t>.</w:t>
      </w:r>
      <w:r w:rsidRPr="00092656">
        <w:rPr>
          <w:rFonts w:ascii="Century Gothic" w:eastAsiaTheme="minorHAnsi" w:hAnsi="Century Gothic" w:cs="Verdana"/>
          <w:color w:val="000000"/>
        </w:rPr>
        <w:t xml:space="preserve"> Nossa visão mais construtiva para o mercado de ações não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092656">
        <w:rPr>
          <w:rFonts w:ascii="Century Gothic" w:eastAsiaTheme="minorHAnsi" w:hAnsi="Century Gothic" w:cs="Verdana"/>
          <w:color w:val="000000"/>
        </w:rPr>
        <w:t xml:space="preserve">mudou, mesmo diante de um mercado mais </w:t>
      </w:r>
      <w:proofErr w:type="spellStart"/>
      <w:r w:rsidRPr="00092656">
        <w:rPr>
          <w:rFonts w:ascii="Century Gothic" w:eastAsiaTheme="minorHAnsi" w:hAnsi="Century Gothic" w:cs="Verdana"/>
          <w:color w:val="000000"/>
        </w:rPr>
        <w:t>bearish</w:t>
      </w:r>
      <w:proofErr w:type="spellEnd"/>
      <w:r w:rsidRPr="00092656">
        <w:rPr>
          <w:rFonts w:ascii="Century Gothic" w:eastAsiaTheme="minorHAnsi" w:hAnsi="Century Gothic" w:cs="Verdana"/>
          <w:color w:val="000000"/>
        </w:rPr>
        <w:t xml:space="preserve"> no curto prazo</w:t>
      </w:r>
      <w:r>
        <w:rPr>
          <w:rFonts w:ascii="Century Gothic" w:eastAsiaTheme="minorHAnsi" w:hAnsi="Century Gothic" w:cs="Verdana"/>
          <w:color w:val="000000"/>
        </w:rPr>
        <w:t xml:space="preserve">. </w:t>
      </w:r>
      <w:r w:rsidRPr="00092656">
        <w:rPr>
          <w:rFonts w:ascii="Century Gothic" w:eastAsiaTheme="minorHAnsi" w:hAnsi="Century Gothic" w:cs="Verdana"/>
          <w:color w:val="000000"/>
        </w:rPr>
        <w:t>No entanto, para esta janela mais curta, esperamos que a bolsa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092656">
        <w:rPr>
          <w:rFonts w:ascii="Century Gothic" w:eastAsiaTheme="minorHAnsi" w:hAnsi="Century Gothic" w:cs="Verdana"/>
          <w:color w:val="000000"/>
        </w:rPr>
        <w:t>brasileira siga mais lateralizada</w:t>
      </w:r>
      <w:r>
        <w:rPr>
          <w:rFonts w:ascii="Century Gothic" w:eastAsiaTheme="minorHAnsi" w:hAnsi="Century Gothic" w:cs="Verdana"/>
          <w:color w:val="000000"/>
        </w:rPr>
        <w:t>.</w:t>
      </w:r>
      <w:r w:rsidRPr="00092656">
        <w:rPr>
          <w:rFonts w:ascii="Century Gothic" w:eastAsiaTheme="minorHAnsi" w:hAnsi="Century Gothic" w:cs="Verdana"/>
          <w:color w:val="000000"/>
        </w:rPr>
        <w:t xml:space="preserve"> No cenário internacional, os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092656">
        <w:rPr>
          <w:rFonts w:ascii="Century Gothic" w:eastAsiaTheme="minorHAnsi" w:hAnsi="Century Gothic" w:cs="Verdana"/>
          <w:color w:val="000000"/>
        </w:rPr>
        <w:t>principais eventos que podem impactar os preços dos ativos no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092656">
        <w:rPr>
          <w:rFonts w:ascii="Century Gothic" w:eastAsiaTheme="minorHAnsi" w:hAnsi="Century Gothic" w:cs="Verdana"/>
          <w:color w:val="000000"/>
        </w:rPr>
        <w:t>radar são a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092656">
        <w:rPr>
          <w:rFonts w:ascii="Century Gothic" w:eastAsiaTheme="minorHAnsi" w:hAnsi="Century Gothic" w:cs="Verdana"/>
          <w:color w:val="000000"/>
        </w:rPr>
        <w:t>aproximação das eleições americanas em novembro, e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092656">
        <w:rPr>
          <w:rFonts w:ascii="Century Gothic" w:eastAsiaTheme="minorHAnsi" w:hAnsi="Century Gothic" w:cs="Verdana"/>
          <w:color w:val="000000"/>
        </w:rPr>
        <w:t>o aumento do número de casos de contaminados por COVID 19</w:t>
      </w:r>
      <w:r>
        <w:rPr>
          <w:rFonts w:ascii="Century Gothic" w:eastAsiaTheme="minorHAnsi" w:hAnsi="Century Gothic" w:cs="Verdana"/>
          <w:color w:val="000000"/>
        </w:rPr>
        <w:t xml:space="preserve">, </w:t>
      </w:r>
      <w:r w:rsidRPr="00092656">
        <w:rPr>
          <w:rFonts w:ascii="Century Gothic" w:eastAsiaTheme="minorHAnsi" w:hAnsi="Century Gothic" w:cs="Verdana"/>
          <w:color w:val="000000"/>
        </w:rPr>
        <w:t>especialmente na Europa</w:t>
      </w:r>
      <w:r>
        <w:rPr>
          <w:rFonts w:ascii="Century Gothic" w:eastAsiaTheme="minorHAnsi" w:hAnsi="Century Gothic" w:cs="Verdana"/>
          <w:color w:val="000000"/>
        </w:rPr>
        <w:t>.</w:t>
      </w:r>
      <w:r w:rsidRPr="00092656">
        <w:rPr>
          <w:rFonts w:ascii="Century Gothic" w:eastAsiaTheme="minorHAnsi" w:hAnsi="Century Gothic" w:cs="Verdana"/>
          <w:color w:val="000000"/>
        </w:rPr>
        <w:t xml:space="preserve"> Já em âmbito </w:t>
      </w:r>
      <w:r w:rsidRPr="00092656">
        <w:rPr>
          <w:rFonts w:ascii="Century Gothic" w:eastAsiaTheme="minorHAnsi" w:hAnsi="Century Gothic" w:cs="Verdana"/>
          <w:color w:val="000000"/>
        </w:rPr>
        <w:lastRenderedPageBreak/>
        <w:t>doméstico, temos o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092656">
        <w:rPr>
          <w:rFonts w:ascii="Century Gothic" w:eastAsiaTheme="minorHAnsi" w:hAnsi="Century Gothic" w:cs="Verdana"/>
          <w:color w:val="000000"/>
        </w:rPr>
        <w:t>aumento das preocupações em relação a trajetória fiscal brasileira,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092656">
        <w:rPr>
          <w:rFonts w:ascii="Century Gothic" w:eastAsiaTheme="minorHAnsi" w:hAnsi="Century Gothic" w:cs="Verdana"/>
          <w:color w:val="000000"/>
        </w:rPr>
        <w:t>que depende do avanço das agendas de reformas estruturais para</w:t>
      </w:r>
      <w:r>
        <w:rPr>
          <w:rFonts w:ascii="Century Gothic" w:eastAsiaTheme="minorHAnsi" w:hAnsi="Century Gothic" w:cs="Verdana"/>
          <w:color w:val="000000"/>
        </w:rPr>
        <w:t xml:space="preserve"> </w:t>
      </w:r>
      <w:r w:rsidRPr="00092656">
        <w:rPr>
          <w:rFonts w:ascii="Century Gothic" w:eastAsiaTheme="minorHAnsi" w:hAnsi="Century Gothic" w:cs="Verdana"/>
          <w:color w:val="000000"/>
        </w:rPr>
        <w:t>que a dívida bruta/PIB possa voltar a cair nos próximos anos</w:t>
      </w:r>
      <w:r>
        <w:rPr>
          <w:rFonts w:ascii="Century Gothic" w:eastAsiaTheme="minorHAnsi" w:hAnsi="Century Gothic" w:cs="Verdana"/>
          <w:color w:val="000000"/>
        </w:rPr>
        <w:t>.</w:t>
      </w:r>
    </w:p>
    <w:p w14:paraId="7C3FE299" w14:textId="637BFF7B" w:rsidR="00A97B29" w:rsidRDefault="00C31874" w:rsidP="00C31874">
      <w:pPr>
        <w:autoSpaceDE w:val="0"/>
        <w:autoSpaceDN w:val="0"/>
        <w:adjustRightInd w:val="0"/>
        <w:spacing w:line="240" w:lineRule="auto"/>
        <w:rPr>
          <w:rFonts w:ascii="Century Gothic" w:eastAsiaTheme="minorHAnsi" w:hAnsi="Century Gothic" w:cs="Verdana,Bold"/>
        </w:rPr>
      </w:pPr>
      <w:r w:rsidRPr="00C31874">
        <w:rPr>
          <w:rFonts w:ascii="Century Gothic" w:eastAsiaTheme="minorHAnsi" w:hAnsi="Century Gothic" w:cs="Verdana,Bold"/>
        </w:rPr>
        <w:t>Apesar</w:t>
      </w:r>
      <w:r>
        <w:rPr>
          <w:rFonts w:ascii="Century Gothic" w:eastAsiaTheme="minorHAnsi" w:hAnsi="Century Gothic" w:cs="Verdana,Bold"/>
        </w:rPr>
        <w:t xml:space="preserve"> </w:t>
      </w:r>
      <w:r w:rsidRPr="00C31874">
        <w:rPr>
          <w:rFonts w:ascii="Century Gothic" w:eastAsiaTheme="minorHAnsi" w:hAnsi="Century Gothic" w:cs="Verdana,Bold"/>
        </w:rPr>
        <w:t xml:space="preserve">do COPOM novamente </w:t>
      </w:r>
      <w:proofErr w:type="spellStart"/>
      <w:r w:rsidRPr="00C31874">
        <w:rPr>
          <w:rFonts w:ascii="Century Gothic" w:eastAsiaTheme="minorHAnsi" w:hAnsi="Century Gothic" w:cs="Verdana,Bold"/>
        </w:rPr>
        <w:t>dovish</w:t>
      </w:r>
      <w:proofErr w:type="spellEnd"/>
      <w:r w:rsidRPr="00C31874">
        <w:rPr>
          <w:rFonts w:ascii="Century Gothic" w:eastAsiaTheme="minorHAnsi" w:hAnsi="Century Gothic" w:cs="Verdana,Bold"/>
        </w:rPr>
        <w:t xml:space="preserve"> em setembro, seguimos com</w:t>
      </w:r>
      <w:r>
        <w:rPr>
          <w:rFonts w:ascii="Century Gothic" w:eastAsiaTheme="minorHAnsi" w:hAnsi="Century Gothic" w:cs="Verdana,Bold"/>
        </w:rPr>
        <w:t xml:space="preserve"> </w:t>
      </w:r>
      <w:r w:rsidRPr="00C31874">
        <w:rPr>
          <w:rFonts w:ascii="Century Gothic" w:eastAsiaTheme="minorHAnsi" w:hAnsi="Century Gothic" w:cs="Verdana,Bold"/>
        </w:rPr>
        <w:t>a leitura de manutenção da SELIC em 2</w:t>
      </w:r>
      <w:r>
        <w:rPr>
          <w:rFonts w:ascii="Century Gothic" w:eastAsiaTheme="minorHAnsi" w:hAnsi="Century Gothic" w:cs="Verdana,Bold"/>
        </w:rPr>
        <w:t>%.</w:t>
      </w:r>
      <w:r w:rsidRPr="00C31874">
        <w:rPr>
          <w:rFonts w:ascii="Century Gothic" w:eastAsiaTheme="minorHAnsi" w:hAnsi="Century Gothic" w:cs="Verdana,Bold"/>
        </w:rPr>
        <w:t xml:space="preserve"> Esperamos assim, que a SELIC</w:t>
      </w:r>
      <w:r>
        <w:rPr>
          <w:rFonts w:ascii="Century Gothic" w:eastAsiaTheme="minorHAnsi" w:hAnsi="Century Gothic" w:cs="Verdana,Bold"/>
        </w:rPr>
        <w:t xml:space="preserve"> </w:t>
      </w:r>
      <w:r w:rsidRPr="00C31874">
        <w:rPr>
          <w:rFonts w:ascii="Century Gothic" w:eastAsiaTheme="minorHAnsi" w:hAnsi="Century Gothic" w:cs="Verdana,Bold"/>
        </w:rPr>
        <w:t>encerre 2020</w:t>
      </w:r>
      <w:r>
        <w:rPr>
          <w:rFonts w:ascii="Century Gothic" w:eastAsiaTheme="minorHAnsi" w:hAnsi="Century Gothic" w:cs="Verdana,Bold"/>
        </w:rPr>
        <w:t xml:space="preserve"> </w:t>
      </w:r>
      <w:r w:rsidRPr="00C31874">
        <w:rPr>
          <w:rFonts w:ascii="Century Gothic" w:eastAsiaTheme="minorHAnsi" w:hAnsi="Century Gothic" w:cs="Verdana,Bold"/>
        </w:rPr>
        <w:t>em 2</w:t>
      </w:r>
      <w:r>
        <w:rPr>
          <w:rFonts w:ascii="Century Gothic" w:eastAsiaTheme="minorHAnsi" w:hAnsi="Century Gothic" w:cs="Verdana,Bold"/>
        </w:rPr>
        <w:t>%</w:t>
      </w:r>
      <w:r w:rsidRPr="00C31874">
        <w:rPr>
          <w:rFonts w:ascii="Century Gothic" w:eastAsiaTheme="minorHAnsi" w:hAnsi="Century Gothic" w:cs="Verdana,Bold"/>
        </w:rPr>
        <w:t xml:space="preserve"> e inicie o movimento de altas apenas em 2021</w:t>
      </w:r>
      <w:r>
        <w:rPr>
          <w:rFonts w:ascii="Century Gothic" w:eastAsiaTheme="minorHAnsi" w:hAnsi="Century Gothic" w:cs="Verdana,Bold"/>
        </w:rPr>
        <w:t>,</w:t>
      </w:r>
      <w:r w:rsidRPr="00C31874">
        <w:rPr>
          <w:rFonts w:ascii="Century Gothic" w:eastAsiaTheme="minorHAnsi" w:hAnsi="Century Gothic" w:cs="Verdana,Bold"/>
        </w:rPr>
        <w:t xml:space="preserve"> levando</w:t>
      </w:r>
      <w:r>
        <w:rPr>
          <w:rFonts w:ascii="Century Gothic" w:eastAsiaTheme="minorHAnsi" w:hAnsi="Century Gothic" w:cs="Verdana,Bold"/>
        </w:rPr>
        <w:t xml:space="preserve"> </w:t>
      </w:r>
      <w:r w:rsidRPr="00C31874">
        <w:rPr>
          <w:rFonts w:ascii="Century Gothic" w:eastAsiaTheme="minorHAnsi" w:hAnsi="Century Gothic" w:cs="Verdana,Bold"/>
        </w:rPr>
        <w:t>os</w:t>
      </w:r>
      <w:r>
        <w:rPr>
          <w:rFonts w:ascii="Century Gothic" w:eastAsiaTheme="minorHAnsi" w:hAnsi="Century Gothic" w:cs="Verdana,Bold"/>
        </w:rPr>
        <w:t xml:space="preserve"> </w:t>
      </w:r>
      <w:r w:rsidRPr="00C31874">
        <w:rPr>
          <w:rFonts w:ascii="Century Gothic" w:eastAsiaTheme="minorHAnsi" w:hAnsi="Century Gothic" w:cs="Verdana,Bold"/>
        </w:rPr>
        <w:t>juros a 3</w:t>
      </w:r>
      <w:r>
        <w:rPr>
          <w:rFonts w:ascii="Century Gothic" w:eastAsiaTheme="minorHAnsi" w:hAnsi="Century Gothic" w:cs="Verdana,Bold"/>
        </w:rPr>
        <w:t>%</w:t>
      </w:r>
      <w:r w:rsidRPr="00C31874">
        <w:rPr>
          <w:rFonts w:ascii="Century Gothic" w:eastAsiaTheme="minorHAnsi" w:hAnsi="Century Gothic" w:cs="Verdana,Bold"/>
        </w:rPr>
        <w:t xml:space="preserve"> naquele ano e 5</w:t>
      </w:r>
      <w:r>
        <w:rPr>
          <w:rFonts w:ascii="Century Gothic" w:eastAsiaTheme="minorHAnsi" w:hAnsi="Century Gothic" w:cs="Verdana,Bold"/>
        </w:rPr>
        <w:t>%</w:t>
      </w:r>
      <w:r w:rsidRPr="00C31874">
        <w:rPr>
          <w:rFonts w:ascii="Century Gothic" w:eastAsiaTheme="minorHAnsi" w:hAnsi="Century Gothic" w:cs="Verdana,Bold"/>
        </w:rPr>
        <w:t xml:space="preserve"> em 2022</w:t>
      </w:r>
      <w:r>
        <w:rPr>
          <w:rFonts w:ascii="Century Gothic" w:eastAsiaTheme="minorHAnsi" w:hAnsi="Century Gothic" w:cs="Verdana,Bold"/>
        </w:rPr>
        <w:t xml:space="preserve">. </w:t>
      </w:r>
      <w:r w:rsidRPr="00C31874">
        <w:rPr>
          <w:rFonts w:ascii="Century Gothic" w:eastAsiaTheme="minorHAnsi" w:hAnsi="Century Gothic" w:cs="Verdana,Bold"/>
        </w:rPr>
        <w:t>Entretanto, não</w:t>
      </w:r>
      <w:r>
        <w:rPr>
          <w:rFonts w:ascii="Century Gothic" w:eastAsiaTheme="minorHAnsi" w:hAnsi="Century Gothic" w:cs="Verdana,Bold"/>
        </w:rPr>
        <w:t xml:space="preserve"> </w:t>
      </w:r>
      <w:r w:rsidRPr="00C31874">
        <w:rPr>
          <w:rFonts w:ascii="Century Gothic" w:eastAsiaTheme="minorHAnsi" w:hAnsi="Century Gothic" w:cs="Verdana,Bold"/>
        </w:rPr>
        <w:t>podemos negar que o risco para concretização do nosso cenário</w:t>
      </w:r>
      <w:r>
        <w:rPr>
          <w:rFonts w:ascii="Century Gothic" w:eastAsiaTheme="minorHAnsi" w:hAnsi="Century Gothic" w:cs="Verdana,Bold"/>
        </w:rPr>
        <w:t xml:space="preserve"> </w:t>
      </w:r>
      <w:r w:rsidRPr="00C31874">
        <w:rPr>
          <w:rFonts w:ascii="Century Gothic" w:eastAsiaTheme="minorHAnsi" w:hAnsi="Century Gothic" w:cs="Verdana,Bold"/>
        </w:rPr>
        <w:t>base aumentou nos últimos meses, em função das incertezas com</w:t>
      </w:r>
      <w:r>
        <w:rPr>
          <w:rFonts w:ascii="Century Gothic" w:eastAsiaTheme="minorHAnsi" w:hAnsi="Century Gothic" w:cs="Verdana,Bold"/>
        </w:rPr>
        <w:t xml:space="preserve"> </w:t>
      </w:r>
      <w:r w:rsidRPr="00C31874">
        <w:rPr>
          <w:rFonts w:ascii="Century Gothic" w:eastAsiaTheme="minorHAnsi" w:hAnsi="Century Gothic" w:cs="Verdana,Bold"/>
        </w:rPr>
        <w:t>relação às contas públicas brasileiras, retomada mais forte da</w:t>
      </w:r>
      <w:r>
        <w:rPr>
          <w:rFonts w:ascii="Century Gothic" w:eastAsiaTheme="minorHAnsi" w:hAnsi="Century Gothic" w:cs="Verdana,Bold"/>
        </w:rPr>
        <w:t xml:space="preserve"> </w:t>
      </w:r>
      <w:r w:rsidRPr="00C31874">
        <w:rPr>
          <w:rFonts w:ascii="Century Gothic" w:eastAsiaTheme="minorHAnsi" w:hAnsi="Century Gothic" w:cs="Verdana,Bold"/>
        </w:rPr>
        <w:t>atividade e inflação alta no atacado</w:t>
      </w:r>
      <w:r>
        <w:rPr>
          <w:rFonts w:ascii="Century Gothic" w:eastAsiaTheme="minorHAnsi" w:hAnsi="Century Gothic" w:cs="Verdana,Bold"/>
        </w:rPr>
        <w:t xml:space="preserve">. </w:t>
      </w:r>
      <w:r w:rsidRPr="00C31874">
        <w:rPr>
          <w:rFonts w:ascii="Century Gothic" w:eastAsiaTheme="minorHAnsi" w:hAnsi="Century Gothic" w:cs="Verdana,Bold"/>
        </w:rPr>
        <w:t>Do</w:t>
      </w:r>
      <w:r>
        <w:rPr>
          <w:rFonts w:ascii="Century Gothic" w:eastAsiaTheme="minorHAnsi" w:hAnsi="Century Gothic" w:cs="Verdana,Bold"/>
        </w:rPr>
        <w:t xml:space="preserve"> </w:t>
      </w:r>
      <w:r w:rsidRPr="00C31874">
        <w:rPr>
          <w:rFonts w:ascii="Century Gothic" w:eastAsiaTheme="minorHAnsi" w:hAnsi="Century Gothic" w:cs="Verdana,Bold"/>
        </w:rPr>
        <w:t>ponto de vista prospectivo, estamos mais cautelosos na tomada</w:t>
      </w:r>
      <w:r>
        <w:rPr>
          <w:rFonts w:ascii="Century Gothic" w:eastAsiaTheme="minorHAnsi" w:hAnsi="Century Gothic" w:cs="Verdana,Bold"/>
        </w:rPr>
        <w:t xml:space="preserve"> </w:t>
      </w:r>
      <w:r w:rsidRPr="00C31874">
        <w:rPr>
          <w:rFonts w:ascii="Century Gothic" w:eastAsiaTheme="minorHAnsi" w:hAnsi="Century Gothic" w:cs="Verdana,Bold"/>
        </w:rPr>
        <w:t>de risco em juros locais e nossas posições ativas continuarão</w:t>
      </w:r>
      <w:r>
        <w:rPr>
          <w:rFonts w:ascii="Century Gothic" w:eastAsiaTheme="minorHAnsi" w:hAnsi="Century Gothic" w:cs="Verdana,Bold"/>
        </w:rPr>
        <w:t xml:space="preserve"> </w:t>
      </w:r>
      <w:r w:rsidRPr="00C31874">
        <w:rPr>
          <w:rFonts w:ascii="Century Gothic" w:eastAsiaTheme="minorHAnsi" w:hAnsi="Century Gothic" w:cs="Verdana,Bold"/>
        </w:rPr>
        <w:t>refletindo uma visão menos desinflacionaria</w:t>
      </w:r>
      <w:r>
        <w:rPr>
          <w:rFonts w:ascii="Century Gothic" w:eastAsiaTheme="minorHAnsi" w:hAnsi="Century Gothic" w:cs="Verdana,Bold"/>
        </w:rPr>
        <w:t>.</w:t>
      </w:r>
    </w:p>
    <w:p w14:paraId="2329132E" w14:textId="7D044B42" w:rsidR="00A97B29" w:rsidRDefault="00A97B29" w:rsidP="00FC6BEF">
      <w:pPr>
        <w:autoSpaceDE w:val="0"/>
        <w:autoSpaceDN w:val="0"/>
        <w:adjustRightInd w:val="0"/>
        <w:spacing w:line="240" w:lineRule="auto"/>
        <w:rPr>
          <w:rFonts w:ascii="Century Gothic" w:eastAsiaTheme="minorHAnsi" w:hAnsi="Century Gothic" w:cs="Verdana,Bold"/>
        </w:rPr>
      </w:pPr>
    </w:p>
    <w:p w14:paraId="1EE9CF46" w14:textId="617D565A" w:rsidR="00A97B29" w:rsidRDefault="005F0497" w:rsidP="000E73BB">
      <w:pPr>
        <w:autoSpaceDE w:val="0"/>
        <w:autoSpaceDN w:val="0"/>
        <w:adjustRightInd w:val="0"/>
        <w:spacing w:line="240" w:lineRule="auto"/>
        <w:rPr>
          <w:rFonts w:ascii="Century Gothic" w:hAnsi="Century Gothic"/>
        </w:rPr>
      </w:pPr>
      <w:r>
        <w:rPr>
          <w:rFonts w:ascii="Century Gothic" w:eastAsiaTheme="minorHAnsi" w:hAnsi="Century Gothic" w:cs="Verdana,Bold"/>
        </w:rPr>
        <w:t>Vamos deixar nesta ata algumas informações que ficarão para a história</w:t>
      </w:r>
      <w:r w:rsidR="004A6A36">
        <w:rPr>
          <w:rFonts w:ascii="Century Gothic" w:eastAsiaTheme="minorHAnsi" w:hAnsi="Century Gothic" w:cs="Verdana,Bold"/>
        </w:rPr>
        <w:t>,</w:t>
      </w:r>
      <w:r w:rsidR="000E73BB">
        <w:rPr>
          <w:rFonts w:ascii="Century Gothic" w:eastAsiaTheme="minorHAnsi" w:hAnsi="Century Gothic" w:cs="Verdana,Bold"/>
        </w:rPr>
        <w:t xml:space="preserve"> </w:t>
      </w:r>
      <w:r w:rsidR="004A6A36">
        <w:rPr>
          <w:rFonts w:ascii="Century Gothic" w:eastAsiaTheme="minorHAnsi" w:hAnsi="Century Gothic" w:cs="Verdana,Bold"/>
        </w:rPr>
        <w:t xml:space="preserve">pois, </w:t>
      </w:r>
      <w:r w:rsidR="000E73BB">
        <w:rPr>
          <w:rFonts w:ascii="Century Gothic" w:eastAsiaTheme="minorHAnsi" w:hAnsi="Century Gothic" w:cs="Verdana,Bold"/>
        </w:rPr>
        <w:t xml:space="preserve">em </w:t>
      </w:r>
      <w:r w:rsidR="004A6A36">
        <w:rPr>
          <w:rFonts w:ascii="Century Gothic" w:eastAsiaTheme="minorHAnsi" w:hAnsi="Century Gothic" w:cs="Verdana,Bold"/>
        </w:rPr>
        <w:t>2020</w:t>
      </w:r>
      <w:r>
        <w:rPr>
          <w:rFonts w:ascii="Century Gothic" w:eastAsiaTheme="minorHAnsi" w:hAnsi="Century Gothic" w:cs="Verdana,Bold"/>
        </w:rPr>
        <w:t xml:space="preserve"> </w:t>
      </w:r>
      <w:r w:rsidR="000E73BB">
        <w:rPr>
          <w:rFonts w:ascii="Century Gothic" w:eastAsiaTheme="minorHAnsi" w:hAnsi="Century Gothic" w:cs="Verdana,Bold"/>
        </w:rPr>
        <w:t>estamos passando por uma pandemia (CORONA VIRUS) que como citamos acima já são milhões de mortos e se não bastasse no Brasil uma seca de mais de 07 meses, resumindo, um ano muito atípico que deixou nossa economia totalmente frágil. Os investimentos com o</w:t>
      </w:r>
      <w:r w:rsidR="000E73BB" w:rsidRPr="000E73BB">
        <w:t xml:space="preserve"> </w:t>
      </w:r>
      <w:r w:rsidR="000E73BB" w:rsidRPr="000E73BB">
        <w:rPr>
          <w:rFonts w:ascii="Century Gothic" w:eastAsiaTheme="minorHAnsi" w:hAnsi="Century Gothic" w:cs="Verdana,Bold"/>
        </w:rPr>
        <w:t>benchmark</w:t>
      </w:r>
      <w:r w:rsidR="000E73BB">
        <w:rPr>
          <w:rFonts w:ascii="Century Gothic" w:eastAsiaTheme="minorHAnsi" w:hAnsi="Century Gothic" w:cs="Verdana,Bold"/>
        </w:rPr>
        <w:t xml:space="preserve"> em DI tiveram rentabilidade negativa, algo nunca visto em nossos investimentos. </w:t>
      </w:r>
    </w:p>
    <w:p w14:paraId="3B4488DF" w14:textId="77777777" w:rsidR="00A97B29" w:rsidRDefault="00A97B29" w:rsidP="00273045">
      <w:pPr>
        <w:autoSpaceDE w:val="0"/>
        <w:autoSpaceDN w:val="0"/>
        <w:adjustRightInd w:val="0"/>
        <w:rPr>
          <w:rFonts w:ascii="Century Gothic" w:hAnsi="Century Gothic"/>
        </w:rPr>
      </w:pPr>
    </w:p>
    <w:p w14:paraId="65D50C88" w14:textId="6BD6863A" w:rsidR="00F87FCD" w:rsidRPr="00595DCF" w:rsidRDefault="00F87FCD" w:rsidP="00273045">
      <w:pPr>
        <w:autoSpaceDE w:val="0"/>
        <w:autoSpaceDN w:val="0"/>
        <w:adjustRightInd w:val="0"/>
        <w:rPr>
          <w:rFonts w:ascii="Century Gothic" w:hAnsi="Century Gothic" w:cs="Arial"/>
        </w:rPr>
      </w:pPr>
      <w:r w:rsidRPr="00595DCF">
        <w:rPr>
          <w:rFonts w:ascii="Century Gothic" w:hAnsi="Century Gothic"/>
        </w:rPr>
        <w:t xml:space="preserve">Diante das análises, o comitê </w:t>
      </w:r>
      <w:r w:rsidR="00A273FC" w:rsidRPr="00595DCF">
        <w:rPr>
          <w:rFonts w:ascii="Century Gothic" w:hAnsi="Century Gothic"/>
        </w:rPr>
        <w:t>decidiu</w:t>
      </w:r>
      <w:r w:rsidR="004F5D0D" w:rsidRPr="00595DCF">
        <w:rPr>
          <w:rFonts w:ascii="Century Gothic" w:hAnsi="Century Gothic"/>
        </w:rPr>
        <w:t xml:space="preserve"> </w:t>
      </w:r>
      <w:r w:rsidR="0001739C" w:rsidRPr="00595DCF">
        <w:rPr>
          <w:rFonts w:ascii="Century Gothic" w:hAnsi="Century Gothic"/>
        </w:rPr>
        <w:t xml:space="preserve">por: </w:t>
      </w:r>
      <w:r w:rsidR="006A1A8B" w:rsidRPr="00595DCF">
        <w:rPr>
          <w:rFonts w:ascii="Century Gothic" w:hAnsi="Century Gothic"/>
        </w:rPr>
        <w:t xml:space="preserve">Aplicar </w:t>
      </w:r>
      <w:r w:rsidR="000E73BB">
        <w:rPr>
          <w:rFonts w:ascii="Century Gothic" w:hAnsi="Century Gothic"/>
        </w:rPr>
        <w:t>$500.000,00 no Fundo Gestão Estratégica da Caixa</w:t>
      </w:r>
      <w:r w:rsidR="00612384">
        <w:rPr>
          <w:rFonts w:ascii="Century Gothic" w:hAnsi="Century Gothic"/>
        </w:rPr>
        <w:t xml:space="preserve">; e $1.500.000,00 no Fundo IRFM1 do BB. </w:t>
      </w:r>
      <w:r w:rsidR="00595DCF" w:rsidRPr="00595DCF">
        <w:rPr>
          <w:rFonts w:ascii="Century Gothic" w:hAnsi="Century Gothic"/>
          <w:shd w:val="clear" w:color="auto" w:fill="FFFFFF" w:themeFill="background1"/>
        </w:rPr>
        <w:t xml:space="preserve">O valor da </w:t>
      </w:r>
      <w:r w:rsidR="00BC041A" w:rsidRPr="00595DCF">
        <w:rPr>
          <w:rFonts w:ascii="Century Gothic" w:hAnsi="Century Gothic"/>
          <w:shd w:val="clear" w:color="auto" w:fill="FFFFFF" w:themeFill="background1"/>
        </w:rPr>
        <w:t xml:space="preserve">taxa de administração será aplicado </w:t>
      </w:r>
      <w:r w:rsidR="00595DCF" w:rsidRPr="00595DCF">
        <w:rPr>
          <w:rFonts w:ascii="Century Gothic" w:hAnsi="Century Gothic"/>
          <w:shd w:val="clear" w:color="auto" w:fill="FFFFFF" w:themeFill="background1"/>
        </w:rPr>
        <w:t xml:space="preserve">no </w:t>
      </w:r>
      <w:r w:rsidR="00BC041A" w:rsidRPr="00595DCF">
        <w:rPr>
          <w:rFonts w:ascii="Century Gothic" w:hAnsi="Century Gothic"/>
          <w:shd w:val="clear" w:color="auto" w:fill="FFFFFF" w:themeFill="background1"/>
        </w:rPr>
        <w:t>Fundo</w:t>
      </w:r>
      <w:r w:rsidRPr="00595DCF">
        <w:rPr>
          <w:rFonts w:ascii="Century Gothic" w:eastAsiaTheme="minorHAnsi" w:hAnsi="Century Gothic" w:cs="BookmanOldStyle"/>
        </w:rPr>
        <w:t xml:space="preserve"> DI </w:t>
      </w:r>
      <w:r w:rsidR="000D32D7" w:rsidRPr="00595DCF">
        <w:rPr>
          <w:rFonts w:ascii="Century Gothic" w:eastAsiaTheme="minorHAnsi" w:hAnsi="Century Gothic" w:cs="BookmanOldStyle"/>
        </w:rPr>
        <w:t>F</w:t>
      </w:r>
      <w:r w:rsidR="003F7565" w:rsidRPr="00595DCF">
        <w:rPr>
          <w:rFonts w:ascii="Century Gothic" w:eastAsiaTheme="minorHAnsi" w:hAnsi="Century Gothic" w:cs="BookmanOldStyle"/>
        </w:rPr>
        <w:t>luxo</w:t>
      </w:r>
      <w:r w:rsidR="000D32D7" w:rsidRPr="00595DCF">
        <w:rPr>
          <w:rFonts w:ascii="Century Gothic" w:eastAsiaTheme="minorHAnsi" w:hAnsi="Century Gothic" w:cs="BookmanOldStyle"/>
        </w:rPr>
        <w:t xml:space="preserve"> </w:t>
      </w:r>
      <w:r w:rsidRPr="00595DCF">
        <w:rPr>
          <w:rFonts w:ascii="Century Gothic" w:eastAsiaTheme="minorHAnsi" w:hAnsi="Century Gothic" w:cs="BookmanOldStyle"/>
        </w:rPr>
        <w:t>do BB</w:t>
      </w:r>
      <w:r w:rsidR="00612384">
        <w:rPr>
          <w:rFonts w:ascii="Century Gothic" w:eastAsiaTheme="minorHAnsi" w:hAnsi="Century Gothic" w:cs="BookmanOldStyle"/>
        </w:rPr>
        <w:t>, sendo que o restante ficará disponível para pagamento de salários de ativos, pensionistas e aposentados.</w:t>
      </w:r>
    </w:p>
    <w:p w14:paraId="1B938971" w14:textId="6A9752AE" w:rsidR="00516448" w:rsidRPr="0001739C" w:rsidRDefault="00E44965" w:rsidP="00273045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000000" w:themeColor="text1"/>
        </w:rPr>
      </w:pPr>
      <w:r w:rsidRPr="0001739C">
        <w:rPr>
          <w:rFonts w:ascii="Century Gothic" w:hAnsi="Century Gothic" w:cs="Arial"/>
          <w:color w:val="000000" w:themeColor="text1"/>
        </w:rPr>
        <w:t>Nada mais havendo a tratar, a reunião foi encerrada às 1</w:t>
      </w:r>
      <w:r w:rsidR="00BB3C52" w:rsidRPr="0001739C">
        <w:rPr>
          <w:rFonts w:ascii="Century Gothic" w:hAnsi="Century Gothic" w:cs="Arial"/>
          <w:color w:val="000000" w:themeColor="text1"/>
        </w:rPr>
        <w:t>6:</w:t>
      </w:r>
      <w:r w:rsidR="00612384">
        <w:rPr>
          <w:rFonts w:ascii="Century Gothic" w:hAnsi="Century Gothic" w:cs="Arial"/>
          <w:color w:val="000000" w:themeColor="text1"/>
        </w:rPr>
        <w:t>50</w:t>
      </w:r>
      <w:r w:rsidRPr="0001739C">
        <w:rPr>
          <w:rFonts w:ascii="Century Gothic" w:hAnsi="Century Gothic" w:cs="Arial"/>
          <w:color w:val="000000" w:themeColor="text1"/>
        </w:rPr>
        <w:t xml:space="preserve">hs, onde a ata foi lida, aprovada e </w:t>
      </w:r>
      <w:r w:rsidR="005D5D04" w:rsidRPr="0001739C">
        <w:rPr>
          <w:rFonts w:ascii="Century Gothic" w:hAnsi="Century Gothic" w:cs="Arial"/>
          <w:color w:val="000000" w:themeColor="text1"/>
        </w:rPr>
        <w:t xml:space="preserve">será </w:t>
      </w:r>
      <w:r w:rsidRPr="0001739C">
        <w:rPr>
          <w:rFonts w:ascii="Century Gothic" w:hAnsi="Century Gothic" w:cs="Arial"/>
          <w:color w:val="000000" w:themeColor="text1"/>
        </w:rPr>
        <w:t>assinada pelos integrantes do comitê presentes à reunião</w:t>
      </w:r>
      <w:r w:rsidR="00516448" w:rsidRPr="0001739C">
        <w:rPr>
          <w:rFonts w:ascii="Century Gothic" w:hAnsi="Century Gothic" w:cs="Arial"/>
          <w:color w:val="000000" w:themeColor="text1"/>
        </w:rPr>
        <w:t>.</w:t>
      </w:r>
    </w:p>
    <w:p w14:paraId="28EEA98C" w14:textId="77777777" w:rsidR="005D5D04" w:rsidRPr="0001739C" w:rsidRDefault="005D5D04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000000" w:themeColor="text1"/>
        </w:rPr>
      </w:pPr>
    </w:p>
    <w:p w14:paraId="2E3C3E96" w14:textId="5701D955" w:rsidR="00E8001D" w:rsidRDefault="00E8001D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000000" w:themeColor="text1"/>
        </w:rPr>
      </w:pPr>
    </w:p>
    <w:p w14:paraId="7CFB81F8" w14:textId="57B5FD1B" w:rsidR="003D29D9" w:rsidRDefault="003D29D9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000000" w:themeColor="text1"/>
        </w:rPr>
      </w:pPr>
    </w:p>
    <w:p w14:paraId="7BBBD1F1" w14:textId="77777777" w:rsidR="003D29D9" w:rsidRDefault="003D29D9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000000" w:themeColor="text1"/>
        </w:rPr>
      </w:pPr>
    </w:p>
    <w:p w14:paraId="5839CB92" w14:textId="77777777" w:rsidR="005D5D04" w:rsidRPr="000D5099" w:rsidRDefault="005D5D04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FF0000"/>
        </w:rPr>
      </w:pPr>
    </w:p>
    <w:bookmarkEnd w:id="0"/>
    <w:p w14:paraId="41C20567" w14:textId="3337E558" w:rsidR="003E2CF3" w:rsidRPr="003E2CF3" w:rsidRDefault="00382AEC" w:rsidP="00382AEC">
      <w:pPr>
        <w:ind w:left="-284" w:right="-427"/>
        <w:rPr>
          <w:rFonts w:ascii="Century Gothic" w:hAnsi="Century Gothic" w:cs="Arial"/>
        </w:rPr>
      </w:pPr>
      <w:r w:rsidRPr="003E2CF3">
        <w:rPr>
          <w:rFonts w:ascii="Century Gothic" w:hAnsi="Century Gothic" w:cs="Arial"/>
          <w:sz w:val="24"/>
          <w:szCs w:val="24"/>
        </w:rPr>
        <w:t xml:space="preserve">    Adauto C. Mariola    João B. André     Agnaldo S. </w:t>
      </w:r>
      <w:proofErr w:type="spellStart"/>
      <w:r w:rsidRPr="003E2CF3">
        <w:rPr>
          <w:rFonts w:ascii="Century Gothic" w:hAnsi="Century Gothic" w:cs="Arial"/>
          <w:sz w:val="24"/>
          <w:szCs w:val="24"/>
        </w:rPr>
        <w:t>Masson</w:t>
      </w:r>
      <w:proofErr w:type="spellEnd"/>
      <w:r w:rsidRPr="003E2CF3">
        <w:rPr>
          <w:rFonts w:ascii="Century Gothic" w:hAnsi="Century Gothic" w:cs="Arial"/>
          <w:sz w:val="24"/>
          <w:szCs w:val="24"/>
        </w:rPr>
        <w:t xml:space="preserve">       Alexandre V. Lima</w:t>
      </w:r>
    </w:p>
    <w:sectPr w:rsidR="003E2CF3" w:rsidRPr="003E2CF3" w:rsidSect="00377034">
      <w:headerReference w:type="default" r:id="rId9"/>
      <w:footerReference w:type="default" r:id="rId10"/>
      <w:pgSz w:w="11906" w:h="16838"/>
      <w:pgMar w:top="1417" w:right="1416" w:bottom="1417" w:left="1560" w:header="567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3783AF" w14:textId="77777777" w:rsidR="00E43F38" w:rsidRDefault="00E43F38" w:rsidP="009375C4">
      <w:pPr>
        <w:spacing w:line="240" w:lineRule="auto"/>
      </w:pPr>
      <w:r>
        <w:separator/>
      </w:r>
    </w:p>
  </w:endnote>
  <w:endnote w:type="continuationSeparator" w:id="0">
    <w:p w14:paraId="0C636699" w14:textId="77777777" w:rsidR="00E43F38" w:rsidRDefault="00E43F38" w:rsidP="009375C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Verdana,Bold">
    <w:altName w:val="Verdan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ookmanOldStyle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FC3B5B" w14:textId="77777777" w:rsidR="000F79D6" w:rsidRPr="00AE0606" w:rsidRDefault="000F79D6" w:rsidP="00AE0606">
    <w:pPr>
      <w:pStyle w:val="Rodap"/>
      <w:jc w:val="center"/>
      <w:rPr>
        <w:rFonts w:ascii="Verdana" w:hAnsi="Verdana"/>
        <w:b/>
        <w:sz w:val="24"/>
        <w:szCs w:val="24"/>
      </w:rPr>
    </w:pPr>
    <w:r w:rsidRPr="00AE0606">
      <w:rPr>
        <w:rFonts w:ascii="Verdana" w:hAnsi="Verdana"/>
        <w:b/>
        <w:sz w:val="24"/>
        <w:szCs w:val="24"/>
      </w:rPr>
      <w:t>Instituto de Previdência do Município de Votuporanga</w:t>
    </w:r>
  </w:p>
  <w:p w14:paraId="1A7DEA7A" w14:textId="77777777" w:rsidR="000F79D6" w:rsidRPr="00AE0606" w:rsidRDefault="000F79D6" w:rsidP="003A10B8">
    <w:pPr>
      <w:pStyle w:val="Rodap"/>
      <w:jc w:val="center"/>
      <w:rPr>
        <w:rFonts w:ascii="Verdana" w:hAnsi="Verdana" w:cstheme="minorHAnsi"/>
        <w:sz w:val="16"/>
        <w:szCs w:val="16"/>
      </w:rPr>
    </w:pPr>
    <w:r w:rsidRPr="00AE0606">
      <w:rPr>
        <w:rFonts w:ascii="Verdana" w:hAnsi="Verdana" w:cstheme="minorHAnsi"/>
        <w:sz w:val="16"/>
        <w:szCs w:val="16"/>
      </w:rPr>
      <w:t>Rua São Paulo, 3834 – Centro - Votuporanga/SP – CEP 15.500-010 - Fone: (17) 3421-6058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430EAD" w14:textId="77777777" w:rsidR="00E43F38" w:rsidRDefault="00E43F38" w:rsidP="009375C4">
      <w:pPr>
        <w:spacing w:line="240" w:lineRule="auto"/>
      </w:pPr>
      <w:r>
        <w:separator/>
      </w:r>
    </w:p>
  </w:footnote>
  <w:footnote w:type="continuationSeparator" w:id="0">
    <w:p w14:paraId="008C60EB" w14:textId="77777777" w:rsidR="00E43F38" w:rsidRDefault="00E43F38" w:rsidP="009375C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D21203" w14:textId="77777777" w:rsidR="000F79D6" w:rsidRDefault="000F79D6" w:rsidP="004853BC">
    <w:pPr>
      <w:pStyle w:val="Cabealho"/>
      <w:tabs>
        <w:tab w:val="clear" w:pos="4252"/>
        <w:tab w:val="clear" w:pos="8504"/>
        <w:tab w:val="left" w:pos="1725"/>
      </w:tabs>
      <w:ind w:left="-284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32D69364" wp14:editId="6CE13333">
          <wp:simplePos x="0" y="0"/>
          <wp:positionH relativeFrom="column">
            <wp:posOffset>4358640</wp:posOffset>
          </wp:positionH>
          <wp:positionV relativeFrom="paragraph">
            <wp:posOffset>-236220</wp:posOffset>
          </wp:positionV>
          <wp:extent cx="1895475" cy="647700"/>
          <wp:effectExtent l="0" t="0" r="9525" b="0"/>
          <wp:wrapSquare wrapText="bothSides"/>
          <wp:docPr id="7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rasão_horizontal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371" t="15626" r="9071" b="18749"/>
                  <a:stretch/>
                </pic:blipFill>
                <pic:spPr bwMode="auto">
                  <a:xfrm>
                    <a:off x="0" y="0"/>
                    <a:ext cx="1895475" cy="647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60288" behindDoc="0" locked="0" layoutInCell="1" allowOverlap="1" wp14:anchorId="16761D7F" wp14:editId="4C564F40">
          <wp:simplePos x="0" y="0"/>
          <wp:positionH relativeFrom="column">
            <wp:posOffset>-1070610</wp:posOffset>
          </wp:positionH>
          <wp:positionV relativeFrom="paragraph">
            <wp:posOffset>-436245</wp:posOffset>
          </wp:positionV>
          <wp:extent cx="2333625" cy="771525"/>
          <wp:effectExtent l="19050" t="0" r="9525" b="0"/>
          <wp:wrapTopAndBottom/>
          <wp:docPr id="8" name="Imagem 8" descr="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m título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33362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tab w:relativeTo="margin" w:alignment="center" w:leader="none"/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F7002D"/>
    <w:multiLevelType w:val="hybridMultilevel"/>
    <w:tmpl w:val="B864554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DF23A7"/>
    <w:multiLevelType w:val="hybridMultilevel"/>
    <w:tmpl w:val="5746B2F4"/>
    <w:lvl w:ilvl="0" w:tplc="2AA2FD8A">
      <w:start w:val="1"/>
      <w:numFmt w:val="upperRoman"/>
      <w:lvlText w:val="%1-"/>
      <w:lvlJc w:val="left"/>
      <w:pPr>
        <w:ind w:left="34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765" w:hanging="360"/>
      </w:pPr>
    </w:lvl>
    <w:lvl w:ilvl="2" w:tplc="0416001B" w:tentative="1">
      <w:start w:val="1"/>
      <w:numFmt w:val="lowerRoman"/>
      <w:lvlText w:val="%3."/>
      <w:lvlJc w:val="right"/>
      <w:pPr>
        <w:ind w:left="4485" w:hanging="180"/>
      </w:pPr>
    </w:lvl>
    <w:lvl w:ilvl="3" w:tplc="0416000F" w:tentative="1">
      <w:start w:val="1"/>
      <w:numFmt w:val="decimal"/>
      <w:lvlText w:val="%4."/>
      <w:lvlJc w:val="left"/>
      <w:pPr>
        <w:ind w:left="5205" w:hanging="360"/>
      </w:pPr>
    </w:lvl>
    <w:lvl w:ilvl="4" w:tplc="04160019" w:tentative="1">
      <w:start w:val="1"/>
      <w:numFmt w:val="lowerLetter"/>
      <w:lvlText w:val="%5."/>
      <w:lvlJc w:val="left"/>
      <w:pPr>
        <w:ind w:left="5925" w:hanging="360"/>
      </w:pPr>
    </w:lvl>
    <w:lvl w:ilvl="5" w:tplc="0416001B" w:tentative="1">
      <w:start w:val="1"/>
      <w:numFmt w:val="lowerRoman"/>
      <w:lvlText w:val="%6."/>
      <w:lvlJc w:val="right"/>
      <w:pPr>
        <w:ind w:left="6645" w:hanging="180"/>
      </w:pPr>
    </w:lvl>
    <w:lvl w:ilvl="6" w:tplc="0416000F" w:tentative="1">
      <w:start w:val="1"/>
      <w:numFmt w:val="decimal"/>
      <w:lvlText w:val="%7."/>
      <w:lvlJc w:val="left"/>
      <w:pPr>
        <w:ind w:left="7365" w:hanging="360"/>
      </w:pPr>
    </w:lvl>
    <w:lvl w:ilvl="7" w:tplc="04160019" w:tentative="1">
      <w:start w:val="1"/>
      <w:numFmt w:val="lowerLetter"/>
      <w:lvlText w:val="%8."/>
      <w:lvlJc w:val="left"/>
      <w:pPr>
        <w:ind w:left="8085" w:hanging="360"/>
      </w:pPr>
    </w:lvl>
    <w:lvl w:ilvl="8" w:tplc="0416001B" w:tentative="1">
      <w:start w:val="1"/>
      <w:numFmt w:val="lowerRoman"/>
      <w:lvlText w:val="%9."/>
      <w:lvlJc w:val="right"/>
      <w:pPr>
        <w:ind w:left="8805" w:hanging="180"/>
      </w:pPr>
    </w:lvl>
  </w:abstractNum>
  <w:abstractNum w:abstractNumId="2" w15:restartNumberingAfterBreak="0">
    <w:nsid w:val="23621587"/>
    <w:multiLevelType w:val="hybridMultilevel"/>
    <w:tmpl w:val="7C00B312"/>
    <w:lvl w:ilvl="0" w:tplc="8E5CCB80">
      <w:start w:val="1"/>
      <w:numFmt w:val="upperRoman"/>
      <w:lvlText w:val="%1-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3" w15:restartNumberingAfterBreak="0">
    <w:nsid w:val="2A5B154D"/>
    <w:multiLevelType w:val="hybridMultilevel"/>
    <w:tmpl w:val="C97EA250"/>
    <w:lvl w:ilvl="0" w:tplc="90324F40">
      <w:numFmt w:val="bullet"/>
      <w:lvlText w:val=""/>
      <w:lvlJc w:val="left"/>
      <w:pPr>
        <w:ind w:left="405" w:hanging="360"/>
      </w:pPr>
      <w:rPr>
        <w:rFonts w:ascii="Symbol" w:eastAsiaTheme="minorHAnsi" w:hAnsi="Symbol" w:cs="Aria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4" w15:restartNumberingAfterBreak="0">
    <w:nsid w:val="3E7A12BA"/>
    <w:multiLevelType w:val="hybridMultilevel"/>
    <w:tmpl w:val="5900B7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102CD3"/>
    <w:multiLevelType w:val="multilevel"/>
    <w:tmpl w:val="EEF6EB10"/>
    <w:lvl w:ilvl="0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>
      <w:start w:val="1"/>
      <w:numFmt w:val="decimal"/>
      <w:lvlText w:val="%2."/>
      <w:lvlJc w:val="left"/>
      <w:pPr>
        <w:ind w:left="360" w:hanging="360"/>
      </w:pPr>
      <w:rPr>
        <w:b/>
        <w:color w:val="auto"/>
        <w:sz w:val="22"/>
        <w:szCs w:val="22"/>
      </w:rPr>
    </w:lvl>
    <w:lvl w:ilvl="2">
      <w:start w:val="1"/>
      <w:numFmt w:val="decimal"/>
      <w:lvlText w:val="%1.%2.%3."/>
      <w:lvlJc w:val="left"/>
      <w:pPr>
        <w:ind w:left="1080" w:hanging="360"/>
      </w:pPr>
    </w:lvl>
    <w:lvl w:ilvl="3">
      <w:start w:val="1"/>
      <w:numFmt w:val="decimal"/>
      <w:lvlText w:val="%1.%2.%3.%4."/>
      <w:lvlJc w:val="left"/>
      <w:pPr>
        <w:ind w:left="1440" w:hanging="360"/>
      </w:pPr>
    </w:lvl>
    <w:lvl w:ilvl="4">
      <w:start w:val="1"/>
      <w:numFmt w:val="decimal"/>
      <w:lvlText w:val="%1.%2.%3.%4.%5."/>
      <w:lvlJc w:val="left"/>
      <w:pPr>
        <w:ind w:left="1800" w:hanging="360"/>
      </w:pPr>
    </w:lvl>
    <w:lvl w:ilvl="5">
      <w:start w:val="1"/>
      <w:numFmt w:val="decimal"/>
      <w:lvlText w:val="%1.%2.%3.%4.%5.%6.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decimal"/>
      <w:lvlText w:val="%1.%2.%3.%4.%5.%6.%7.%8."/>
      <w:lvlJc w:val="left"/>
      <w:pPr>
        <w:ind w:left="2880" w:hanging="360"/>
      </w:pPr>
    </w:lvl>
    <w:lvl w:ilvl="8">
      <w:start w:val="1"/>
      <w:numFmt w:val="decimal"/>
      <w:lvlText w:val="%1.%2.%3.%4.%5.%6.%7.%8.%9."/>
      <w:lvlJc w:val="left"/>
      <w:pPr>
        <w:ind w:left="3240" w:hanging="360"/>
      </w:pPr>
    </w:lvl>
  </w:abstractNum>
  <w:abstractNum w:abstractNumId="6" w15:restartNumberingAfterBreak="0">
    <w:nsid w:val="45E826C3"/>
    <w:multiLevelType w:val="hybridMultilevel"/>
    <w:tmpl w:val="9E383E8E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4A862FE9"/>
    <w:multiLevelType w:val="hybridMultilevel"/>
    <w:tmpl w:val="1F24F9EC"/>
    <w:lvl w:ilvl="0" w:tplc="0658CCB6">
      <w:start w:val="1"/>
      <w:numFmt w:val="decimal"/>
      <w:lvlText w:val="%1)"/>
      <w:lvlJc w:val="left"/>
      <w:pPr>
        <w:ind w:left="360" w:hanging="360"/>
      </w:pPr>
      <w:rPr>
        <w:rFonts w:eastAsia="Calibri" w:cs="Times New Roman" w:hint="default"/>
        <w:b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A17724"/>
    <w:multiLevelType w:val="hybridMultilevel"/>
    <w:tmpl w:val="9D6223EA"/>
    <w:lvl w:ilvl="0" w:tplc="C61A6184">
      <w:start w:val="1"/>
      <w:numFmt w:val="upperRoman"/>
      <w:lvlText w:val="%1-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9" w15:restartNumberingAfterBreak="0">
    <w:nsid w:val="53400BEB"/>
    <w:multiLevelType w:val="hybridMultilevel"/>
    <w:tmpl w:val="9ACACD98"/>
    <w:lvl w:ilvl="0" w:tplc="AE568F0E">
      <w:start w:val="1"/>
      <w:numFmt w:val="upperRoman"/>
      <w:lvlText w:val="%1-"/>
      <w:lvlJc w:val="left"/>
      <w:pPr>
        <w:ind w:left="213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0" w:hanging="360"/>
      </w:pPr>
    </w:lvl>
    <w:lvl w:ilvl="2" w:tplc="0416001B" w:tentative="1">
      <w:start w:val="1"/>
      <w:numFmt w:val="lowerRoman"/>
      <w:lvlText w:val="%3."/>
      <w:lvlJc w:val="right"/>
      <w:pPr>
        <w:ind w:left="3210" w:hanging="180"/>
      </w:pPr>
    </w:lvl>
    <w:lvl w:ilvl="3" w:tplc="0416000F" w:tentative="1">
      <w:start w:val="1"/>
      <w:numFmt w:val="decimal"/>
      <w:lvlText w:val="%4."/>
      <w:lvlJc w:val="left"/>
      <w:pPr>
        <w:ind w:left="3930" w:hanging="360"/>
      </w:pPr>
    </w:lvl>
    <w:lvl w:ilvl="4" w:tplc="04160019" w:tentative="1">
      <w:start w:val="1"/>
      <w:numFmt w:val="lowerLetter"/>
      <w:lvlText w:val="%5."/>
      <w:lvlJc w:val="left"/>
      <w:pPr>
        <w:ind w:left="4650" w:hanging="360"/>
      </w:pPr>
    </w:lvl>
    <w:lvl w:ilvl="5" w:tplc="0416001B" w:tentative="1">
      <w:start w:val="1"/>
      <w:numFmt w:val="lowerRoman"/>
      <w:lvlText w:val="%6."/>
      <w:lvlJc w:val="right"/>
      <w:pPr>
        <w:ind w:left="5370" w:hanging="180"/>
      </w:pPr>
    </w:lvl>
    <w:lvl w:ilvl="6" w:tplc="0416000F" w:tentative="1">
      <w:start w:val="1"/>
      <w:numFmt w:val="decimal"/>
      <w:lvlText w:val="%7."/>
      <w:lvlJc w:val="left"/>
      <w:pPr>
        <w:ind w:left="6090" w:hanging="360"/>
      </w:pPr>
    </w:lvl>
    <w:lvl w:ilvl="7" w:tplc="04160019" w:tentative="1">
      <w:start w:val="1"/>
      <w:numFmt w:val="lowerLetter"/>
      <w:lvlText w:val="%8."/>
      <w:lvlJc w:val="left"/>
      <w:pPr>
        <w:ind w:left="6810" w:hanging="360"/>
      </w:pPr>
    </w:lvl>
    <w:lvl w:ilvl="8" w:tplc="0416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10" w15:restartNumberingAfterBreak="0">
    <w:nsid w:val="6B641FC0"/>
    <w:multiLevelType w:val="hybridMultilevel"/>
    <w:tmpl w:val="A69E85AA"/>
    <w:lvl w:ilvl="0" w:tplc="076ABD8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330D7A"/>
    <w:multiLevelType w:val="hybridMultilevel"/>
    <w:tmpl w:val="F176ED1E"/>
    <w:lvl w:ilvl="0" w:tplc="0416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8"/>
  </w:num>
  <w:num w:numId="4">
    <w:abstractNumId w:val="9"/>
  </w:num>
  <w:num w:numId="5">
    <w:abstractNumId w:val="4"/>
  </w:num>
  <w:num w:numId="6">
    <w:abstractNumId w:val="6"/>
  </w:num>
  <w:num w:numId="7">
    <w:abstractNumId w:val="3"/>
  </w:num>
  <w:num w:numId="8">
    <w:abstractNumId w:val="10"/>
  </w:num>
  <w:num w:numId="9">
    <w:abstractNumId w:val="7"/>
  </w:num>
  <w:num w:numId="10">
    <w:abstractNumId w:val="0"/>
  </w:num>
  <w:num w:numId="11">
    <w:abstractNumId w:val="11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60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C0CFD"/>
    <w:rsid w:val="0000235D"/>
    <w:rsid w:val="000038EF"/>
    <w:rsid w:val="00004777"/>
    <w:rsid w:val="00005398"/>
    <w:rsid w:val="000133A8"/>
    <w:rsid w:val="00016061"/>
    <w:rsid w:val="000163FB"/>
    <w:rsid w:val="0001739C"/>
    <w:rsid w:val="00020D6F"/>
    <w:rsid w:val="00020F71"/>
    <w:rsid w:val="000327B4"/>
    <w:rsid w:val="000343E1"/>
    <w:rsid w:val="000375E4"/>
    <w:rsid w:val="000375FA"/>
    <w:rsid w:val="00037973"/>
    <w:rsid w:val="00040CB6"/>
    <w:rsid w:val="00041875"/>
    <w:rsid w:val="00044A50"/>
    <w:rsid w:val="00046906"/>
    <w:rsid w:val="000474AE"/>
    <w:rsid w:val="000517D1"/>
    <w:rsid w:val="00053B7F"/>
    <w:rsid w:val="000549F9"/>
    <w:rsid w:val="00061EBB"/>
    <w:rsid w:val="00062649"/>
    <w:rsid w:val="00062E1F"/>
    <w:rsid w:val="00065C90"/>
    <w:rsid w:val="000711CD"/>
    <w:rsid w:val="0007386E"/>
    <w:rsid w:val="00074061"/>
    <w:rsid w:val="00074279"/>
    <w:rsid w:val="00091414"/>
    <w:rsid w:val="00092656"/>
    <w:rsid w:val="000973EA"/>
    <w:rsid w:val="000A040A"/>
    <w:rsid w:val="000A0510"/>
    <w:rsid w:val="000A11DE"/>
    <w:rsid w:val="000A50FB"/>
    <w:rsid w:val="000A5A82"/>
    <w:rsid w:val="000A708E"/>
    <w:rsid w:val="000B566E"/>
    <w:rsid w:val="000B65A9"/>
    <w:rsid w:val="000C238A"/>
    <w:rsid w:val="000D0501"/>
    <w:rsid w:val="000D1375"/>
    <w:rsid w:val="000D2110"/>
    <w:rsid w:val="000D2DAD"/>
    <w:rsid w:val="000D32D7"/>
    <w:rsid w:val="000D5099"/>
    <w:rsid w:val="000D57CE"/>
    <w:rsid w:val="000D60B5"/>
    <w:rsid w:val="000D760D"/>
    <w:rsid w:val="000E60B4"/>
    <w:rsid w:val="000E73BB"/>
    <w:rsid w:val="000E7E1D"/>
    <w:rsid w:val="000F6256"/>
    <w:rsid w:val="000F6A3E"/>
    <w:rsid w:val="000F79D6"/>
    <w:rsid w:val="00104CDC"/>
    <w:rsid w:val="00106E55"/>
    <w:rsid w:val="00106EB7"/>
    <w:rsid w:val="0011110F"/>
    <w:rsid w:val="00117B9D"/>
    <w:rsid w:val="001347E8"/>
    <w:rsid w:val="00134A76"/>
    <w:rsid w:val="00137B82"/>
    <w:rsid w:val="00146014"/>
    <w:rsid w:val="0014636C"/>
    <w:rsid w:val="00147307"/>
    <w:rsid w:val="001516C0"/>
    <w:rsid w:val="00155962"/>
    <w:rsid w:val="0015712E"/>
    <w:rsid w:val="00161971"/>
    <w:rsid w:val="001630FC"/>
    <w:rsid w:val="00163A10"/>
    <w:rsid w:val="00164824"/>
    <w:rsid w:val="0016546B"/>
    <w:rsid w:val="0017139C"/>
    <w:rsid w:val="00171469"/>
    <w:rsid w:val="00171D76"/>
    <w:rsid w:val="00176F1B"/>
    <w:rsid w:val="00187143"/>
    <w:rsid w:val="001903B1"/>
    <w:rsid w:val="001A13E0"/>
    <w:rsid w:val="001A1AD3"/>
    <w:rsid w:val="001A4403"/>
    <w:rsid w:val="001A54D9"/>
    <w:rsid w:val="001B5A68"/>
    <w:rsid w:val="001C0E0D"/>
    <w:rsid w:val="001C2F5D"/>
    <w:rsid w:val="001C3AA7"/>
    <w:rsid w:val="001C5587"/>
    <w:rsid w:val="001C5D92"/>
    <w:rsid w:val="001D1DF1"/>
    <w:rsid w:val="001D67ED"/>
    <w:rsid w:val="001E1F2D"/>
    <w:rsid w:val="001E4C89"/>
    <w:rsid w:val="001E5CC8"/>
    <w:rsid w:val="001E5EFD"/>
    <w:rsid w:val="001E793E"/>
    <w:rsid w:val="001F40F5"/>
    <w:rsid w:val="001F48B3"/>
    <w:rsid w:val="00200C6C"/>
    <w:rsid w:val="002052BB"/>
    <w:rsid w:val="0020562E"/>
    <w:rsid w:val="002068C5"/>
    <w:rsid w:val="00206F03"/>
    <w:rsid w:val="00210B37"/>
    <w:rsid w:val="00211728"/>
    <w:rsid w:val="00211D64"/>
    <w:rsid w:val="00213910"/>
    <w:rsid w:val="00214B74"/>
    <w:rsid w:val="0022122D"/>
    <w:rsid w:val="0022533A"/>
    <w:rsid w:val="0023195F"/>
    <w:rsid w:val="00231F59"/>
    <w:rsid w:val="00240051"/>
    <w:rsid w:val="0024267A"/>
    <w:rsid w:val="00247BE8"/>
    <w:rsid w:val="00247DC0"/>
    <w:rsid w:val="0025093D"/>
    <w:rsid w:val="00251D27"/>
    <w:rsid w:val="0025325E"/>
    <w:rsid w:val="00254AFD"/>
    <w:rsid w:val="00254B16"/>
    <w:rsid w:val="0025695E"/>
    <w:rsid w:val="002624D4"/>
    <w:rsid w:val="00262A17"/>
    <w:rsid w:val="00266401"/>
    <w:rsid w:val="00270F4B"/>
    <w:rsid w:val="002724D8"/>
    <w:rsid w:val="00273045"/>
    <w:rsid w:val="00273CF9"/>
    <w:rsid w:val="002740E8"/>
    <w:rsid w:val="00274802"/>
    <w:rsid w:val="00275AF9"/>
    <w:rsid w:val="00276608"/>
    <w:rsid w:val="002768FD"/>
    <w:rsid w:val="0028284B"/>
    <w:rsid w:val="002837AA"/>
    <w:rsid w:val="00285AA9"/>
    <w:rsid w:val="00285E5F"/>
    <w:rsid w:val="00286013"/>
    <w:rsid w:val="002870B3"/>
    <w:rsid w:val="002912FE"/>
    <w:rsid w:val="00291C9B"/>
    <w:rsid w:val="00296E36"/>
    <w:rsid w:val="002A191F"/>
    <w:rsid w:val="002B2417"/>
    <w:rsid w:val="002B3343"/>
    <w:rsid w:val="002C0399"/>
    <w:rsid w:val="002C7045"/>
    <w:rsid w:val="002C7BFD"/>
    <w:rsid w:val="002D149D"/>
    <w:rsid w:val="002D3AB9"/>
    <w:rsid w:val="002E0BB5"/>
    <w:rsid w:val="002E1943"/>
    <w:rsid w:val="002E544E"/>
    <w:rsid w:val="002F1CDF"/>
    <w:rsid w:val="0030202C"/>
    <w:rsid w:val="00302500"/>
    <w:rsid w:val="003147B0"/>
    <w:rsid w:val="00315831"/>
    <w:rsid w:val="00320AA0"/>
    <w:rsid w:val="00323FB4"/>
    <w:rsid w:val="003262CB"/>
    <w:rsid w:val="00327AFE"/>
    <w:rsid w:val="0034527E"/>
    <w:rsid w:val="00352285"/>
    <w:rsid w:val="00352DE2"/>
    <w:rsid w:val="0035528C"/>
    <w:rsid w:val="0036155A"/>
    <w:rsid w:val="00370B86"/>
    <w:rsid w:val="00371177"/>
    <w:rsid w:val="00371632"/>
    <w:rsid w:val="00371A9C"/>
    <w:rsid w:val="00372955"/>
    <w:rsid w:val="0037552A"/>
    <w:rsid w:val="003759FD"/>
    <w:rsid w:val="00377034"/>
    <w:rsid w:val="003816BE"/>
    <w:rsid w:val="003818F3"/>
    <w:rsid w:val="00382AEC"/>
    <w:rsid w:val="003914F1"/>
    <w:rsid w:val="003A10B8"/>
    <w:rsid w:val="003A3C75"/>
    <w:rsid w:val="003A7154"/>
    <w:rsid w:val="003B1056"/>
    <w:rsid w:val="003B1292"/>
    <w:rsid w:val="003B1918"/>
    <w:rsid w:val="003B1E86"/>
    <w:rsid w:val="003B3608"/>
    <w:rsid w:val="003B37FD"/>
    <w:rsid w:val="003B68AE"/>
    <w:rsid w:val="003C0384"/>
    <w:rsid w:val="003C184B"/>
    <w:rsid w:val="003C3F6E"/>
    <w:rsid w:val="003C43BA"/>
    <w:rsid w:val="003D29D9"/>
    <w:rsid w:val="003E2CF3"/>
    <w:rsid w:val="003E32DD"/>
    <w:rsid w:val="003E7955"/>
    <w:rsid w:val="003F7565"/>
    <w:rsid w:val="004031B6"/>
    <w:rsid w:val="00405600"/>
    <w:rsid w:val="0040642C"/>
    <w:rsid w:val="00407F38"/>
    <w:rsid w:val="00410211"/>
    <w:rsid w:val="0041392C"/>
    <w:rsid w:val="00420AF7"/>
    <w:rsid w:val="0042192A"/>
    <w:rsid w:val="00423EAA"/>
    <w:rsid w:val="00424B63"/>
    <w:rsid w:val="004251A3"/>
    <w:rsid w:val="00427CD6"/>
    <w:rsid w:val="00433496"/>
    <w:rsid w:val="00434D19"/>
    <w:rsid w:val="00434F2F"/>
    <w:rsid w:val="004407BE"/>
    <w:rsid w:val="004422D3"/>
    <w:rsid w:val="00452680"/>
    <w:rsid w:val="004602D7"/>
    <w:rsid w:val="004636B9"/>
    <w:rsid w:val="004644F2"/>
    <w:rsid w:val="00476723"/>
    <w:rsid w:val="00481752"/>
    <w:rsid w:val="00484F0C"/>
    <w:rsid w:val="004853BC"/>
    <w:rsid w:val="00487875"/>
    <w:rsid w:val="004940E2"/>
    <w:rsid w:val="004971F9"/>
    <w:rsid w:val="004A1754"/>
    <w:rsid w:val="004A2E50"/>
    <w:rsid w:val="004A3E6B"/>
    <w:rsid w:val="004A3F6B"/>
    <w:rsid w:val="004A5CC2"/>
    <w:rsid w:val="004A6A36"/>
    <w:rsid w:val="004A7DF7"/>
    <w:rsid w:val="004B1351"/>
    <w:rsid w:val="004B437D"/>
    <w:rsid w:val="004B5E19"/>
    <w:rsid w:val="004B75D3"/>
    <w:rsid w:val="004C7A4D"/>
    <w:rsid w:val="004D1A6C"/>
    <w:rsid w:val="004D46B9"/>
    <w:rsid w:val="004E1F58"/>
    <w:rsid w:val="004E2C69"/>
    <w:rsid w:val="004E3620"/>
    <w:rsid w:val="004E66CD"/>
    <w:rsid w:val="004E6E8B"/>
    <w:rsid w:val="004F3549"/>
    <w:rsid w:val="004F50E1"/>
    <w:rsid w:val="004F5CB0"/>
    <w:rsid w:val="004F5D0D"/>
    <w:rsid w:val="0050175C"/>
    <w:rsid w:val="0050369B"/>
    <w:rsid w:val="00506D86"/>
    <w:rsid w:val="00514F11"/>
    <w:rsid w:val="00516448"/>
    <w:rsid w:val="00516BA4"/>
    <w:rsid w:val="00523D2A"/>
    <w:rsid w:val="00531154"/>
    <w:rsid w:val="005319F4"/>
    <w:rsid w:val="00532EB4"/>
    <w:rsid w:val="005340A3"/>
    <w:rsid w:val="005345EC"/>
    <w:rsid w:val="00534785"/>
    <w:rsid w:val="00536783"/>
    <w:rsid w:val="00536D8B"/>
    <w:rsid w:val="0054251E"/>
    <w:rsid w:val="00552684"/>
    <w:rsid w:val="00553822"/>
    <w:rsid w:val="00556AC1"/>
    <w:rsid w:val="005575D5"/>
    <w:rsid w:val="00565628"/>
    <w:rsid w:val="005759F1"/>
    <w:rsid w:val="00580586"/>
    <w:rsid w:val="00582033"/>
    <w:rsid w:val="005855C0"/>
    <w:rsid w:val="005861DC"/>
    <w:rsid w:val="00594E58"/>
    <w:rsid w:val="00595D9D"/>
    <w:rsid w:val="00595DCF"/>
    <w:rsid w:val="00597AC5"/>
    <w:rsid w:val="005A0E7E"/>
    <w:rsid w:val="005A12E2"/>
    <w:rsid w:val="005B02E1"/>
    <w:rsid w:val="005B0BA1"/>
    <w:rsid w:val="005C1ED1"/>
    <w:rsid w:val="005C35C4"/>
    <w:rsid w:val="005C450B"/>
    <w:rsid w:val="005C4C40"/>
    <w:rsid w:val="005C76FE"/>
    <w:rsid w:val="005D12E9"/>
    <w:rsid w:val="005D1F32"/>
    <w:rsid w:val="005D2B9E"/>
    <w:rsid w:val="005D3324"/>
    <w:rsid w:val="005D5D04"/>
    <w:rsid w:val="005E5499"/>
    <w:rsid w:val="005F0497"/>
    <w:rsid w:val="005F094D"/>
    <w:rsid w:val="005F5B9D"/>
    <w:rsid w:val="00600182"/>
    <w:rsid w:val="0060055A"/>
    <w:rsid w:val="00600B44"/>
    <w:rsid w:val="00601A35"/>
    <w:rsid w:val="00601E40"/>
    <w:rsid w:val="006028F8"/>
    <w:rsid w:val="006061BE"/>
    <w:rsid w:val="00610BF1"/>
    <w:rsid w:val="00612384"/>
    <w:rsid w:val="00615973"/>
    <w:rsid w:val="00622C2E"/>
    <w:rsid w:val="006277AD"/>
    <w:rsid w:val="0063284F"/>
    <w:rsid w:val="00633E8E"/>
    <w:rsid w:val="00634BF0"/>
    <w:rsid w:val="00635019"/>
    <w:rsid w:val="006366CD"/>
    <w:rsid w:val="00637E5C"/>
    <w:rsid w:val="006428DF"/>
    <w:rsid w:val="006436D7"/>
    <w:rsid w:val="00650529"/>
    <w:rsid w:val="00650A1B"/>
    <w:rsid w:val="006517FC"/>
    <w:rsid w:val="00655D35"/>
    <w:rsid w:val="00657DE9"/>
    <w:rsid w:val="00664F78"/>
    <w:rsid w:val="00666CDA"/>
    <w:rsid w:val="00667C6F"/>
    <w:rsid w:val="00667ED0"/>
    <w:rsid w:val="00672140"/>
    <w:rsid w:val="0067293F"/>
    <w:rsid w:val="00674B70"/>
    <w:rsid w:val="00677269"/>
    <w:rsid w:val="00677E0F"/>
    <w:rsid w:val="00692575"/>
    <w:rsid w:val="00693930"/>
    <w:rsid w:val="00693C2E"/>
    <w:rsid w:val="00695910"/>
    <w:rsid w:val="006A0885"/>
    <w:rsid w:val="006A10F8"/>
    <w:rsid w:val="006A1A8B"/>
    <w:rsid w:val="006A215E"/>
    <w:rsid w:val="006A6410"/>
    <w:rsid w:val="006B15BF"/>
    <w:rsid w:val="006B34C5"/>
    <w:rsid w:val="006B40E5"/>
    <w:rsid w:val="006B4515"/>
    <w:rsid w:val="006B6BBF"/>
    <w:rsid w:val="006C10BF"/>
    <w:rsid w:val="006C1978"/>
    <w:rsid w:val="006C4DE6"/>
    <w:rsid w:val="006C5706"/>
    <w:rsid w:val="006C5E61"/>
    <w:rsid w:val="006C7BCD"/>
    <w:rsid w:val="006D1CBE"/>
    <w:rsid w:val="006D39EE"/>
    <w:rsid w:val="006D5526"/>
    <w:rsid w:val="006D7B84"/>
    <w:rsid w:val="006E117B"/>
    <w:rsid w:val="006E341E"/>
    <w:rsid w:val="006E65E1"/>
    <w:rsid w:val="006F1442"/>
    <w:rsid w:val="007031D3"/>
    <w:rsid w:val="0070375C"/>
    <w:rsid w:val="00704FC5"/>
    <w:rsid w:val="0071325E"/>
    <w:rsid w:val="00713B8A"/>
    <w:rsid w:val="00714264"/>
    <w:rsid w:val="00714F26"/>
    <w:rsid w:val="00720927"/>
    <w:rsid w:val="00721A39"/>
    <w:rsid w:val="00722C5B"/>
    <w:rsid w:val="00722E42"/>
    <w:rsid w:val="00723811"/>
    <w:rsid w:val="007271A8"/>
    <w:rsid w:val="00730FC2"/>
    <w:rsid w:val="00731834"/>
    <w:rsid w:val="00733354"/>
    <w:rsid w:val="00733C60"/>
    <w:rsid w:val="007374C0"/>
    <w:rsid w:val="007432AB"/>
    <w:rsid w:val="00744B1E"/>
    <w:rsid w:val="00760C37"/>
    <w:rsid w:val="00761154"/>
    <w:rsid w:val="00763F00"/>
    <w:rsid w:val="00764D72"/>
    <w:rsid w:val="00765FF3"/>
    <w:rsid w:val="007662A6"/>
    <w:rsid w:val="00771CB1"/>
    <w:rsid w:val="00782A3A"/>
    <w:rsid w:val="007843A0"/>
    <w:rsid w:val="00786CB7"/>
    <w:rsid w:val="00791B53"/>
    <w:rsid w:val="00792713"/>
    <w:rsid w:val="00793CE3"/>
    <w:rsid w:val="00794D38"/>
    <w:rsid w:val="00795021"/>
    <w:rsid w:val="007A47AE"/>
    <w:rsid w:val="007B1981"/>
    <w:rsid w:val="007B25D6"/>
    <w:rsid w:val="007B365B"/>
    <w:rsid w:val="007B3761"/>
    <w:rsid w:val="007C1FD1"/>
    <w:rsid w:val="007C23C7"/>
    <w:rsid w:val="007C359E"/>
    <w:rsid w:val="007E14EB"/>
    <w:rsid w:val="007E2A84"/>
    <w:rsid w:val="007E3313"/>
    <w:rsid w:val="007E3A60"/>
    <w:rsid w:val="007E7B6C"/>
    <w:rsid w:val="007F0A01"/>
    <w:rsid w:val="007F114F"/>
    <w:rsid w:val="00801064"/>
    <w:rsid w:val="00801388"/>
    <w:rsid w:val="00805C71"/>
    <w:rsid w:val="008074AE"/>
    <w:rsid w:val="008107CC"/>
    <w:rsid w:val="00810B1A"/>
    <w:rsid w:val="00812327"/>
    <w:rsid w:val="00815850"/>
    <w:rsid w:val="00816CBA"/>
    <w:rsid w:val="00821757"/>
    <w:rsid w:val="008303A1"/>
    <w:rsid w:val="00830710"/>
    <w:rsid w:val="0083296A"/>
    <w:rsid w:val="00842CC5"/>
    <w:rsid w:val="00844DFC"/>
    <w:rsid w:val="00850D61"/>
    <w:rsid w:val="00856158"/>
    <w:rsid w:val="00861938"/>
    <w:rsid w:val="008622EE"/>
    <w:rsid w:val="00865963"/>
    <w:rsid w:val="008674DE"/>
    <w:rsid w:val="00871249"/>
    <w:rsid w:val="00871469"/>
    <w:rsid w:val="00874281"/>
    <w:rsid w:val="00875280"/>
    <w:rsid w:val="0088008E"/>
    <w:rsid w:val="00884B59"/>
    <w:rsid w:val="00886EE7"/>
    <w:rsid w:val="00893D8F"/>
    <w:rsid w:val="008A3A81"/>
    <w:rsid w:val="008A7CAD"/>
    <w:rsid w:val="008B13CC"/>
    <w:rsid w:val="008B7204"/>
    <w:rsid w:val="008C040B"/>
    <w:rsid w:val="008C1848"/>
    <w:rsid w:val="008C2238"/>
    <w:rsid w:val="008D1FB0"/>
    <w:rsid w:val="008E3E74"/>
    <w:rsid w:val="008F4979"/>
    <w:rsid w:val="008F59D9"/>
    <w:rsid w:val="008F739B"/>
    <w:rsid w:val="008F7A94"/>
    <w:rsid w:val="009110CD"/>
    <w:rsid w:val="009122AC"/>
    <w:rsid w:val="00913DB3"/>
    <w:rsid w:val="00916508"/>
    <w:rsid w:val="009202CB"/>
    <w:rsid w:val="00926682"/>
    <w:rsid w:val="00926F59"/>
    <w:rsid w:val="0093283A"/>
    <w:rsid w:val="00936AB8"/>
    <w:rsid w:val="009375C4"/>
    <w:rsid w:val="00940456"/>
    <w:rsid w:val="009430A1"/>
    <w:rsid w:val="0094510A"/>
    <w:rsid w:val="00950E30"/>
    <w:rsid w:val="009520C7"/>
    <w:rsid w:val="00953126"/>
    <w:rsid w:val="009534F9"/>
    <w:rsid w:val="0095399B"/>
    <w:rsid w:val="00954801"/>
    <w:rsid w:val="0096045F"/>
    <w:rsid w:val="009625D1"/>
    <w:rsid w:val="0096444B"/>
    <w:rsid w:val="00972A2F"/>
    <w:rsid w:val="0097665A"/>
    <w:rsid w:val="00976FC2"/>
    <w:rsid w:val="00981EE2"/>
    <w:rsid w:val="009822AC"/>
    <w:rsid w:val="009827B3"/>
    <w:rsid w:val="00984EF1"/>
    <w:rsid w:val="009863B5"/>
    <w:rsid w:val="00993D60"/>
    <w:rsid w:val="00996525"/>
    <w:rsid w:val="009A1541"/>
    <w:rsid w:val="009B43E3"/>
    <w:rsid w:val="009B5CC8"/>
    <w:rsid w:val="009B6144"/>
    <w:rsid w:val="009C17B7"/>
    <w:rsid w:val="009C71E4"/>
    <w:rsid w:val="009E170A"/>
    <w:rsid w:val="009F13B0"/>
    <w:rsid w:val="009F337B"/>
    <w:rsid w:val="009F3FAD"/>
    <w:rsid w:val="009F6974"/>
    <w:rsid w:val="009F732A"/>
    <w:rsid w:val="00A01801"/>
    <w:rsid w:val="00A03A35"/>
    <w:rsid w:val="00A07AEC"/>
    <w:rsid w:val="00A13D35"/>
    <w:rsid w:val="00A204EE"/>
    <w:rsid w:val="00A2117D"/>
    <w:rsid w:val="00A25947"/>
    <w:rsid w:val="00A273FC"/>
    <w:rsid w:val="00A33BA4"/>
    <w:rsid w:val="00A37D16"/>
    <w:rsid w:val="00A46E96"/>
    <w:rsid w:val="00A47978"/>
    <w:rsid w:val="00A562AE"/>
    <w:rsid w:val="00A577A0"/>
    <w:rsid w:val="00A6051A"/>
    <w:rsid w:val="00A60E8D"/>
    <w:rsid w:val="00A6501E"/>
    <w:rsid w:val="00A713AD"/>
    <w:rsid w:val="00A71476"/>
    <w:rsid w:val="00A730F1"/>
    <w:rsid w:val="00A8385C"/>
    <w:rsid w:val="00A840CD"/>
    <w:rsid w:val="00A85065"/>
    <w:rsid w:val="00A8550A"/>
    <w:rsid w:val="00A86265"/>
    <w:rsid w:val="00A8714A"/>
    <w:rsid w:val="00A874D0"/>
    <w:rsid w:val="00A87721"/>
    <w:rsid w:val="00A9504D"/>
    <w:rsid w:val="00A95EE3"/>
    <w:rsid w:val="00A96E17"/>
    <w:rsid w:val="00A97B29"/>
    <w:rsid w:val="00AA0CAF"/>
    <w:rsid w:val="00AA1861"/>
    <w:rsid w:val="00AA198D"/>
    <w:rsid w:val="00AB0224"/>
    <w:rsid w:val="00AB1E91"/>
    <w:rsid w:val="00AB3C67"/>
    <w:rsid w:val="00AC0CFD"/>
    <w:rsid w:val="00AC27B4"/>
    <w:rsid w:val="00AC4677"/>
    <w:rsid w:val="00AD1E21"/>
    <w:rsid w:val="00AD3F97"/>
    <w:rsid w:val="00AD5436"/>
    <w:rsid w:val="00AD75E2"/>
    <w:rsid w:val="00AE0606"/>
    <w:rsid w:val="00AE2A53"/>
    <w:rsid w:val="00AE3A7F"/>
    <w:rsid w:val="00AE4FEA"/>
    <w:rsid w:val="00AE55FA"/>
    <w:rsid w:val="00AE68B9"/>
    <w:rsid w:val="00AE73BD"/>
    <w:rsid w:val="00AF26FA"/>
    <w:rsid w:val="00AF2714"/>
    <w:rsid w:val="00AF6219"/>
    <w:rsid w:val="00B01130"/>
    <w:rsid w:val="00B016BC"/>
    <w:rsid w:val="00B02A12"/>
    <w:rsid w:val="00B20525"/>
    <w:rsid w:val="00B27946"/>
    <w:rsid w:val="00B30B3A"/>
    <w:rsid w:val="00B3130B"/>
    <w:rsid w:val="00B35F4D"/>
    <w:rsid w:val="00B366A0"/>
    <w:rsid w:val="00B3736F"/>
    <w:rsid w:val="00B45D41"/>
    <w:rsid w:val="00B50A47"/>
    <w:rsid w:val="00B54A31"/>
    <w:rsid w:val="00B605DC"/>
    <w:rsid w:val="00B61661"/>
    <w:rsid w:val="00B63F86"/>
    <w:rsid w:val="00B67647"/>
    <w:rsid w:val="00B7256F"/>
    <w:rsid w:val="00B7538A"/>
    <w:rsid w:val="00B83FC5"/>
    <w:rsid w:val="00B85695"/>
    <w:rsid w:val="00B87256"/>
    <w:rsid w:val="00B87BA4"/>
    <w:rsid w:val="00B923E0"/>
    <w:rsid w:val="00BA1F99"/>
    <w:rsid w:val="00BA4BDF"/>
    <w:rsid w:val="00BB0725"/>
    <w:rsid w:val="00BB3C52"/>
    <w:rsid w:val="00BB3D55"/>
    <w:rsid w:val="00BB7450"/>
    <w:rsid w:val="00BB7E64"/>
    <w:rsid w:val="00BC041A"/>
    <w:rsid w:val="00BC411C"/>
    <w:rsid w:val="00BC631E"/>
    <w:rsid w:val="00BD0963"/>
    <w:rsid w:val="00BD51CF"/>
    <w:rsid w:val="00BE0973"/>
    <w:rsid w:val="00BE56D6"/>
    <w:rsid w:val="00BF26CA"/>
    <w:rsid w:val="00BF2A0F"/>
    <w:rsid w:val="00BF3EF1"/>
    <w:rsid w:val="00BF53C2"/>
    <w:rsid w:val="00BF78FB"/>
    <w:rsid w:val="00C002F2"/>
    <w:rsid w:val="00C010A5"/>
    <w:rsid w:val="00C02784"/>
    <w:rsid w:val="00C028E7"/>
    <w:rsid w:val="00C02AA7"/>
    <w:rsid w:val="00C06832"/>
    <w:rsid w:val="00C07CB2"/>
    <w:rsid w:val="00C10F73"/>
    <w:rsid w:val="00C17A88"/>
    <w:rsid w:val="00C24FEE"/>
    <w:rsid w:val="00C30859"/>
    <w:rsid w:val="00C31874"/>
    <w:rsid w:val="00C31E97"/>
    <w:rsid w:val="00C33224"/>
    <w:rsid w:val="00C35B2E"/>
    <w:rsid w:val="00C3650F"/>
    <w:rsid w:val="00C41576"/>
    <w:rsid w:val="00C4541E"/>
    <w:rsid w:val="00C471E7"/>
    <w:rsid w:val="00C51526"/>
    <w:rsid w:val="00C53349"/>
    <w:rsid w:val="00C53E5C"/>
    <w:rsid w:val="00C56C07"/>
    <w:rsid w:val="00C6223D"/>
    <w:rsid w:val="00C623B9"/>
    <w:rsid w:val="00C62542"/>
    <w:rsid w:val="00C62A5D"/>
    <w:rsid w:val="00C63BCF"/>
    <w:rsid w:val="00C65D48"/>
    <w:rsid w:val="00C70967"/>
    <w:rsid w:val="00C74A6B"/>
    <w:rsid w:val="00C7544E"/>
    <w:rsid w:val="00C76592"/>
    <w:rsid w:val="00C803FF"/>
    <w:rsid w:val="00C80E72"/>
    <w:rsid w:val="00C833C8"/>
    <w:rsid w:val="00C838FA"/>
    <w:rsid w:val="00C85FD3"/>
    <w:rsid w:val="00C862EB"/>
    <w:rsid w:val="00C9178E"/>
    <w:rsid w:val="00C94CDD"/>
    <w:rsid w:val="00C97A0D"/>
    <w:rsid w:val="00CA1AEF"/>
    <w:rsid w:val="00CA3F7E"/>
    <w:rsid w:val="00CA445D"/>
    <w:rsid w:val="00CA78A6"/>
    <w:rsid w:val="00CB3005"/>
    <w:rsid w:val="00CB3445"/>
    <w:rsid w:val="00CC62C9"/>
    <w:rsid w:val="00CD02CA"/>
    <w:rsid w:val="00CD08DD"/>
    <w:rsid w:val="00CD617D"/>
    <w:rsid w:val="00CD72C9"/>
    <w:rsid w:val="00CE09B2"/>
    <w:rsid w:val="00CE2511"/>
    <w:rsid w:val="00CE5827"/>
    <w:rsid w:val="00CF279F"/>
    <w:rsid w:val="00CF2F90"/>
    <w:rsid w:val="00CF43D5"/>
    <w:rsid w:val="00D03ADF"/>
    <w:rsid w:val="00D0460A"/>
    <w:rsid w:val="00D07741"/>
    <w:rsid w:val="00D07A86"/>
    <w:rsid w:val="00D11D9A"/>
    <w:rsid w:val="00D13FF0"/>
    <w:rsid w:val="00D16E23"/>
    <w:rsid w:val="00D2127A"/>
    <w:rsid w:val="00D22E8A"/>
    <w:rsid w:val="00D249AE"/>
    <w:rsid w:val="00D26343"/>
    <w:rsid w:val="00D2634B"/>
    <w:rsid w:val="00D30075"/>
    <w:rsid w:val="00D40408"/>
    <w:rsid w:val="00D46EAA"/>
    <w:rsid w:val="00D5349B"/>
    <w:rsid w:val="00D56685"/>
    <w:rsid w:val="00D56A27"/>
    <w:rsid w:val="00D659F9"/>
    <w:rsid w:val="00D67CB1"/>
    <w:rsid w:val="00D731D1"/>
    <w:rsid w:val="00D75086"/>
    <w:rsid w:val="00D76541"/>
    <w:rsid w:val="00D87A41"/>
    <w:rsid w:val="00D90BC6"/>
    <w:rsid w:val="00D91C19"/>
    <w:rsid w:val="00D93DDE"/>
    <w:rsid w:val="00D945F3"/>
    <w:rsid w:val="00D94A7A"/>
    <w:rsid w:val="00DA1C60"/>
    <w:rsid w:val="00DA73B3"/>
    <w:rsid w:val="00DB0A64"/>
    <w:rsid w:val="00DB1109"/>
    <w:rsid w:val="00DB136F"/>
    <w:rsid w:val="00DC1F2D"/>
    <w:rsid w:val="00DC36EA"/>
    <w:rsid w:val="00DC3BE9"/>
    <w:rsid w:val="00DC47E5"/>
    <w:rsid w:val="00DC7945"/>
    <w:rsid w:val="00DC7E2E"/>
    <w:rsid w:val="00DD1773"/>
    <w:rsid w:val="00DD243E"/>
    <w:rsid w:val="00DD4DE3"/>
    <w:rsid w:val="00DD5252"/>
    <w:rsid w:val="00DD5609"/>
    <w:rsid w:val="00DD7D43"/>
    <w:rsid w:val="00DE17F1"/>
    <w:rsid w:val="00DE3936"/>
    <w:rsid w:val="00DE67DE"/>
    <w:rsid w:val="00DE6F78"/>
    <w:rsid w:val="00DF15CD"/>
    <w:rsid w:val="00DF2209"/>
    <w:rsid w:val="00DF3D9A"/>
    <w:rsid w:val="00E0525B"/>
    <w:rsid w:val="00E0668A"/>
    <w:rsid w:val="00E07F74"/>
    <w:rsid w:val="00E10EC5"/>
    <w:rsid w:val="00E122AB"/>
    <w:rsid w:val="00E1320A"/>
    <w:rsid w:val="00E14875"/>
    <w:rsid w:val="00E14B1B"/>
    <w:rsid w:val="00E1511F"/>
    <w:rsid w:val="00E16A00"/>
    <w:rsid w:val="00E3083F"/>
    <w:rsid w:val="00E35BA4"/>
    <w:rsid w:val="00E37445"/>
    <w:rsid w:val="00E376B7"/>
    <w:rsid w:val="00E43F38"/>
    <w:rsid w:val="00E44965"/>
    <w:rsid w:val="00E464ED"/>
    <w:rsid w:val="00E47F49"/>
    <w:rsid w:val="00E51881"/>
    <w:rsid w:val="00E606D8"/>
    <w:rsid w:val="00E616F4"/>
    <w:rsid w:val="00E70AC9"/>
    <w:rsid w:val="00E727AB"/>
    <w:rsid w:val="00E8001D"/>
    <w:rsid w:val="00E80592"/>
    <w:rsid w:val="00E807A6"/>
    <w:rsid w:val="00E80D78"/>
    <w:rsid w:val="00E851DE"/>
    <w:rsid w:val="00E87F27"/>
    <w:rsid w:val="00E922E6"/>
    <w:rsid w:val="00E92E31"/>
    <w:rsid w:val="00E9348C"/>
    <w:rsid w:val="00EA286F"/>
    <w:rsid w:val="00EA6041"/>
    <w:rsid w:val="00EA6B5A"/>
    <w:rsid w:val="00EC2CBB"/>
    <w:rsid w:val="00EC3092"/>
    <w:rsid w:val="00EC3593"/>
    <w:rsid w:val="00EC388A"/>
    <w:rsid w:val="00EC539A"/>
    <w:rsid w:val="00EC62C9"/>
    <w:rsid w:val="00EC6701"/>
    <w:rsid w:val="00EC7541"/>
    <w:rsid w:val="00EC7995"/>
    <w:rsid w:val="00ED007A"/>
    <w:rsid w:val="00ED0E65"/>
    <w:rsid w:val="00ED64AB"/>
    <w:rsid w:val="00ED792F"/>
    <w:rsid w:val="00ED7BD0"/>
    <w:rsid w:val="00EE2481"/>
    <w:rsid w:val="00EE657E"/>
    <w:rsid w:val="00EF3BEB"/>
    <w:rsid w:val="00EF5962"/>
    <w:rsid w:val="00F023E1"/>
    <w:rsid w:val="00F05CD7"/>
    <w:rsid w:val="00F06085"/>
    <w:rsid w:val="00F1295B"/>
    <w:rsid w:val="00F14B85"/>
    <w:rsid w:val="00F16B91"/>
    <w:rsid w:val="00F16FBE"/>
    <w:rsid w:val="00F17C07"/>
    <w:rsid w:val="00F214D2"/>
    <w:rsid w:val="00F21AD6"/>
    <w:rsid w:val="00F245C2"/>
    <w:rsid w:val="00F3032F"/>
    <w:rsid w:val="00F3236B"/>
    <w:rsid w:val="00F33E3C"/>
    <w:rsid w:val="00F370C5"/>
    <w:rsid w:val="00F40004"/>
    <w:rsid w:val="00F407B9"/>
    <w:rsid w:val="00F46170"/>
    <w:rsid w:val="00F46C4A"/>
    <w:rsid w:val="00F569C9"/>
    <w:rsid w:val="00F57257"/>
    <w:rsid w:val="00F64EAC"/>
    <w:rsid w:val="00F6533A"/>
    <w:rsid w:val="00F66811"/>
    <w:rsid w:val="00F70C22"/>
    <w:rsid w:val="00F751AE"/>
    <w:rsid w:val="00F7560E"/>
    <w:rsid w:val="00F818E4"/>
    <w:rsid w:val="00F85522"/>
    <w:rsid w:val="00F87FCD"/>
    <w:rsid w:val="00F93594"/>
    <w:rsid w:val="00F9418B"/>
    <w:rsid w:val="00F9563A"/>
    <w:rsid w:val="00F96BE2"/>
    <w:rsid w:val="00FA1BEF"/>
    <w:rsid w:val="00FA500B"/>
    <w:rsid w:val="00FA5970"/>
    <w:rsid w:val="00FA74BD"/>
    <w:rsid w:val="00FB00B8"/>
    <w:rsid w:val="00FB1994"/>
    <w:rsid w:val="00FB61BA"/>
    <w:rsid w:val="00FB6F04"/>
    <w:rsid w:val="00FC0231"/>
    <w:rsid w:val="00FC3078"/>
    <w:rsid w:val="00FC4710"/>
    <w:rsid w:val="00FC6BEF"/>
    <w:rsid w:val="00FC7667"/>
    <w:rsid w:val="00FE39B6"/>
    <w:rsid w:val="00FE3D1E"/>
    <w:rsid w:val="00FE4175"/>
    <w:rsid w:val="00FE4CA0"/>
    <w:rsid w:val="00FE5B05"/>
    <w:rsid w:val="00FF0287"/>
    <w:rsid w:val="00FF6A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1"/>
    <o:shapelayout v:ext="edit">
      <o:idmap v:ext="edit" data="1"/>
    </o:shapelayout>
  </w:shapeDefaults>
  <w:decimalSymbol w:val=","/>
  <w:listSeparator w:val=";"/>
  <w14:docId w14:val="636A119E"/>
  <w15:docId w15:val="{375C14C5-47F2-4B17-AAEC-392EA6588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75FA"/>
    <w:rPr>
      <w:rFonts w:ascii="Calibri" w:eastAsia="Calibri" w:hAnsi="Calibri" w:cs="Times New Roman"/>
    </w:rPr>
  </w:style>
  <w:style w:type="paragraph" w:styleId="Ttulo6">
    <w:name w:val="heading 6"/>
    <w:basedOn w:val="Normal"/>
    <w:next w:val="Normal"/>
    <w:link w:val="Ttulo6Char"/>
    <w:qFormat/>
    <w:rsid w:val="000375FA"/>
    <w:pPr>
      <w:keepNext/>
      <w:spacing w:line="240" w:lineRule="auto"/>
      <w:ind w:firstLine="3969"/>
      <w:outlineLvl w:val="5"/>
    </w:pPr>
    <w:rPr>
      <w:rFonts w:ascii="Century Gothic" w:eastAsia="Times New Roman" w:hAnsi="Century Gothic"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375C4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</w:rPr>
  </w:style>
  <w:style w:type="character" w:customStyle="1" w:styleId="CabealhoChar">
    <w:name w:val="Cabeçalho Char"/>
    <w:basedOn w:val="Fontepargpadro"/>
    <w:link w:val="Cabealho"/>
    <w:uiPriority w:val="99"/>
    <w:rsid w:val="009375C4"/>
  </w:style>
  <w:style w:type="paragraph" w:styleId="Rodap">
    <w:name w:val="footer"/>
    <w:basedOn w:val="Normal"/>
    <w:link w:val="RodapChar"/>
    <w:uiPriority w:val="99"/>
    <w:unhideWhenUsed/>
    <w:rsid w:val="009375C4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</w:rPr>
  </w:style>
  <w:style w:type="character" w:customStyle="1" w:styleId="RodapChar">
    <w:name w:val="Rodapé Char"/>
    <w:basedOn w:val="Fontepargpadro"/>
    <w:link w:val="Rodap"/>
    <w:uiPriority w:val="99"/>
    <w:rsid w:val="009375C4"/>
  </w:style>
  <w:style w:type="paragraph" w:styleId="Ttulo">
    <w:name w:val="Title"/>
    <w:basedOn w:val="Normal"/>
    <w:link w:val="TtuloChar"/>
    <w:qFormat/>
    <w:rsid w:val="00E3083F"/>
    <w:pPr>
      <w:spacing w:line="240" w:lineRule="auto"/>
      <w:ind w:firstLine="1680"/>
    </w:pPr>
    <w:rPr>
      <w:rFonts w:ascii="Arial" w:eastAsia="Times New Roman" w:hAnsi="Arial" w:cs="Arial"/>
      <w:b/>
      <w:bCs/>
      <w:szCs w:val="24"/>
      <w:lang w:eastAsia="pt-BR"/>
    </w:rPr>
  </w:style>
  <w:style w:type="character" w:customStyle="1" w:styleId="TtuloChar">
    <w:name w:val="Título Char"/>
    <w:basedOn w:val="Fontepargpadro"/>
    <w:link w:val="Ttulo"/>
    <w:rsid w:val="00E3083F"/>
    <w:rPr>
      <w:rFonts w:ascii="Arial" w:eastAsia="Times New Roman" w:hAnsi="Arial" w:cs="Arial"/>
      <w:b/>
      <w:bCs/>
      <w:szCs w:val="24"/>
      <w:lang w:eastAsia="pt-BR"/>
    </w:rPr>
  </w:style>
  <w:style w:type="paragraph" w:styleId="PargrafodaLista">
    <w:name w:val="List Paragraph"/>
    <w:basedOn w:val="Normal"/>
    <w:qFormat/>
    <w:rsid w:val="00213910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52684"/>
    <w:pPr>
      <w:spacing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52684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0375FA"/>
    <w:pPr>
      <w:spacing w:line="360" w:lineRule="auto"/>
      <w:ind w:firstLine="3685"/>
    </w:pPr>
    <w:rPr>
      <w:rFonts w:ascii="Century Gothic" w:eastAsia="Times New Roman" w:hAnsi="Century Gothic"/>
      <w:sz w:val="24"/>
      <w:szCs w:val="20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unhideWhenUsed/>
    <w:rsid w:val="000375FA"/>
    <w:pPr>
      <w:spacing w:line="240" w:lineRule="auto"/>
      <w:ind w:firstLine="4253"/>
    </w:pPr>
    <w:rPr>
      <w:rFonts w:ascii="Century Gothic" w:eastAsia="Times New Roman" w:hAnsi="Century Gothic"/>
      <w:sz w:val="24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0375FA"/>
    <w:rPr>
      <w:color w:val="0000FF"/>
      <w:u w:val="single"/>
    </w:rPr>
  </w:style>
  <w:style w:type="table" w:styleId="Tabelacomgrade">
    <w:name w:val="Table Grid"/>
    <w:basedOn w:val="Tabelanormal"/>
    <w:uiPriority w:val="59"/>
    <w:rsid w:val="00F40004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D67CB1"/>
    <w:pPr>
      <w:autoSpaceDE w:val="0"/>
      <w:autoSpaceDN w:val="0"/>
      <w:adjustRightInd w:val="0"/>
      <w:spacing w:line="240" w:lineRule="auto"/>
    </w:pPr>
    <w:rPr>
      <w:rFonts w:ascii="Calibri" w:hAnsi="Calibri" w:cs="Calibri"/>
      <w:color w:val="000000"/>
      <w:sz w:val="24"/>
      <w:szCs w:val="24"/>
    </w:rPr>
  </w:style>
  <w:style w:type="table" w:customStyle="1" w:styleId="Tabelacomgrade1">
    <w:name w:val="Tabela com grade1"/>
    <w:basedOn w:val="Tabelanormal"/>
    <w:next w:val="Tabelacomgrade"/>
    <w:uiPriority w:val="59"/>
    <w:rsid w:val="005B0BA1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elacomgrade2">
    <w:name w:val="Tabela com grade2"/>
    <w:basedOn w:val="Tabelanormal"/>
    <w:next w:val="Tabelacomgrade"/>
    <w:uiPriority w:val="59"/>
    <w:rsid w:val="005B0BA1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Standard">
    <w:name w:val="Standard"/>
    <w:rsid w:val="005B0BA1"/>
    <w:pPr>
      <w:suppressAutoHyphens/>
      <w:autoSpaceDN w:val="0"/>
      <w:spacing w:before="120" w:after="120" w:line="240" w:lineRule="auto"/>
      <w:ind w:firstLine="567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val="en-US"/>
    </w:rPr>
  </w:style>
  <w:style w:type="table" w:customStyle="1" w:styleId="Tabelacomgrade3">
    <w:name w:val="Tabela com grade3"/>
    <w:basedOn w:val="Tabelanormal"/>
    <w:next w:val="Tabelacomgrade"/>
    <w:uiPriority w:val="59"/>
    <w:rsid w:val="005B0BA1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elacomgrade4">
    <w:name w:val="Tabela com grade4"/>
    <w:basedOn w:val="Tabelanormal"/>
    <w:next w:val="Tabelacomgrade"/>
    <w:uiPriority w:val="59"/>
    <w:rsid w:val="005B0BA1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rpodetexto">
    <w:name w:val="Body Text"/>
    <w:basedOn w:val="Normal"/>
    <w:link w:val="CorpodetextoChar"/>
    <w:uiPriority w:val="99"/>
    <w:semiHidden/>
    <w:unhideWhenUsed/>
    <w:rsid w:val="00F66811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F66811"/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6028F8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pt-BR"/>
    </w:rPr>
  </w:style>
  <w:style w:type="table" w:customStyle="1" w:styleId="TableNormal">
    <w:name w:val="Table Normal"/>
    <w:uiPriority w:val="2"/>
    <w:semiHidden/>
    <w:unhideWhenUsed/>
    <w:qFormat/>
    <w:rsid w:val="007E14EB"/>
    <w:pPr>
      <w:widowControl w:val="0"/>
      <w:autoSpaceDE w:val="0"/>
      <w:autoSpaceDN w:val="0"/>
      <w:spacing w:line="240" w:lineRule="auto"/>
      <w:jc w:val="left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E14EB"/>
    <w:pPr>
      <w:widowControl w:val="0"/>
      <w:autoSpaceDE w:val="0"/>
      <w:autoSpaceDN w:val="0"/>
      <w:spacing w:before="34" w:line="240" w:lineRule="auto"/>
      <w:jc w:val="center"/>
    </w:pPr>
    <w:rPr>
      <w:rFonts w:ascii="Arial" w:eastAsia="Arial" w:hAnsi="Arial" w:cs="Arial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98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0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47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651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07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973830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8081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56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1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3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2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9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2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70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58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7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1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94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automariola\AppData\Local\Microsoft\Windows\Temporary%20Internet%20Files\Content.MSO\AE4DA743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A97FA1-3450-489C-A743-2B3B839929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AE4DA743</Template>
  <TotalTime>7920</TotalTime>
  <Pages>3</Pages>
  <Words>1031</Words>
  <Characters>5571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3seven</Company>
  <LinksUpToDate>false</LinksUpToDate>
  <CharactersWithSpaces>6589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adautomariola</dc:creator>
  <cp:keywords/>
  <dc:description/>
  <cp:lastModifiedBy>adautomariola</cp:lastModifiedBy>
  <cp:revision>62</cp:revision>
  <cp:lastPrinted>2020-11-24T12:53:00Z</cp:lastPrinted>
  <dcterms:created xsi:type="dcterms:W3CDTF">2017-08-11T10:28:00Z</dcterms:created>
  <dcterms:modified xsi:type="dcterms:W3CDTF">2020-11-24T12:57:00Z</dcterms:modified>
</cp:coreProperties>
</file>