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93E51" w14:textId="77777777"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14:paraId="58488117" w14:textId="77777777"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14:paraId="708D3D1F" w14:textId="77777777"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14:paraId="6B350096" w14:textId="60612462" w:rsidR="007D0FCA" w:rsidRDefault="001D67ED" w:rsidP="005855C0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</w:t>
      </w:r>
      <w:r w:rsidR="007D0FCA">
        <w:rPr>
          <w:rFonts w:ascii="Century Gothic" w:hAnsi="Century Gothic" w:cs="Arial"/>
          <w:b/>
        </w:rPr>
        <w:t>7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7D0FCA">
        <w:rPr>
          <w:rFonts w:ascii="Century Gothic" w:hAnsi="Century Gothic" w:cs="Arial"/>
        </w:rPr>
        <w:t>24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7D0FCA" w:rsidRPr="00355078">
        <w:rPr>
          <w:rFonts w:ascii="Century Gothic" w:hAnsi="Century Gothic" w:cs="Arial"/>
          <w:b/>
          <w:bCs/>
        </w:rPr>
        <w:t>NOVEMBRO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7D0FCA">
        <w:rPr>
          <w:rFonts w:ascii="Century Gothic" w:hAnsi="Century Gothic" w:cs="Arial"/>
        </w:rPr>
        <w:t>09</w:t>
      </w:r>
      <w:r w:rsidR="004A5CC2">
        <w:rPr>
          <w:rFonts w:ascii="Century Gothic" w:hAnsi="Century Gothic" w:cs="Arial"/>
        </w:rPr>
        <w:t>:</w:t>
      </w:r>
      <w:r w:rsidR="000A708E">
        <w:rPr>
          <w:rFonts w:ascii="Century Gothic" w:hAnsi="Century Gothic" w:cs="Arial"/>
        </w:rPr>
        <w:t>0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 xml:space="preserve">, </w:t>
      </w:r>
      <w:r w:rsidR="00D30075">
        <w:rPr>
          <w:rFonts w:ascii="Century Gothic" w:hAnsi="Century Gothic" w:cs="Arial"/>
        </w:rPr>
        <w:t>onde o Presidente apresentou a rentabilidade</w:t>
      </w:r>
      <w:r w:rsidR="00FA1BEF">
        <w:rPr>
          <w:rFonts w:ascii="Century Gothic" w:hAnsi="Century Gothic" w:cs="Arial"/>
        </w:rPr>
        <w:t xml:space="preserve"> da carteira</w:t>
      </w:r>
      <w:r w:rsidR="00D30075">
        <w:rPr>
          <w:rFonts w:ascii="Century Gothic" w:hAnsi="Century Gothic" w:cs="Arial"/>
        </w:rPr>
        <w:t xml:space="preserve"> do mês de </w:t>
      </w:r>
      <w:r w:rsidR="007D0FCA">
        <w:rPr>
          <w:rFonts w:ascii="Century Gothic" w:hAnsi="Century Gothic" w:cs="Arial"/>
        </w:rPr>
        <w:t>outubro</w:t>
      </w:r>
      <w:r w:rsidR="00355078">
        <w:rPr>
          <w:rFonts w:ascii="Century Gothic" w:hAnsi="Century Gothic" w:cs="Arial"/>
        </w:rPr>
        <w:t>.</w:t>
      </w:r>
    </w:p>
    <w:p w14:paraId="756ED26F" w14:textId="6CD2B9F6" w:rsidR="00D56685" w:rsidRDefault="00D30075" w:rsidP="005855C0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.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28"/>
        <w:gridCol w:w="1573"/>
        <w:gridCol w:w="832"/>
        <w:gridCol w:w="1852"/>
        <w:gridCol w:w="1986"/>
        <w:gridCol w:w="1667"/>
      </w:tblGrid>
      <w:tr w:rsidR="00161971" w14:paraId="7ACC8B1D" w14:textId="77777777" w:rsidTr="00D46EAA">
        <w:tc>
          <w:tcPr>
            <w:tcW w:w="1128" w:type="dxa"/>
            <w:shd w:val="clear" w:color="auto" w:fill="D9D9D9" w:themeFill="background1" w:themeFillShade="D9"/>
            <w:vAlign w:val="center"/>
          </w:tcPr>
          <w:p w14:paraId="378BD60D" w14:textId="110ABDAC" w:rsidR="00F14B85" w:rsidRPr="00BB3D55" w:rsidRDefault="007D0FCA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>10</w:t>
            </w:r>
            <w:r w:rsidR="00C002F2" w:rsidRPr="00BB3D55">
              <w:rPr>
                <w:rFonts w:ascii="Century Gothic" w:eastAsiaTheme="minorHAnsi" w:hAnsi="Century Gothic" w:cs="Verdana"/>
                <w:b/>
              </w:rPr>
              <w:t>/2</w:t>
            </w:r>
            <w:r w:rsidR="00791B53" w:rsidRPr="00BB3D55">
              <w:rPr>
                <w:rFonts w:ascii="Century Gothic" w:eastAsiaTheme="minorHAnsi" w:hAnsi="Century Gothic" w:cs="Verdana"/>
                <w:b/>
              </w:rPr>
              <w:t>020</w:t>
            </w:r>
          </w:p>
        </w:tc>
        <w:tc>
          <w:tcPr>
            <w:tcW w:w="1573" w:type="dxa"/>
            <w:shd w:val="clear" w:color="auto" w:fill="D9D9D9" w:themeFill="background1" w:themeFillShade="D9"/>
            <w:vAlign w:val="center"/>
          </w:tcPr>
          <w:p w14:paraId="0A9F6F97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</w:p>
        </w:tc>
        <w:tc>
          <w:tcPr>
            <w:tcW w:w="832" w:type="dxa"/>
            <w:shd w:val="clear" w:color="auto" w:fill="D9D9D9" w:themeFill="background1" w:themeFillShade="D9"/>
            <w:vAlign w:val="center"/>
          </w:tcPr>
          <w:p w14:paraId="2188B68B" w14:textId="77777777" w:rsidR="00F14B85" w:rsidRPr="00BB3D55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</w:t>
            </w:r>
          </w:p>
        </w:tc>
        <w:tc>
          <w:tcPr>
            <w:tcW w:w="1852" w:type="dxa"/>
            <w:shd w:val="clear" w:color="auto" w:fill="D9D9D9" w:themeFill="background1" w:themeFillShade="D9"/>
          </w:tcPr>
          <w:p w14:paraId="14CFBF4D" w14:textId="77777777" w:rsidR="00D46EAA" w:rsidRDefault="00F14B85" w:rsidP="0016197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M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eta</w:t>
            </w:r>
          </w:p>
          <w:p w14:paraId="00EAA76C" w14:textId="77777777" w:rsidR="00F14B85" w:rsidRPr="00BB3D55" w:rsidRDefault="00F14B8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IPCA+</w:t>
            </w:r>
            <w:r w:rsidR="00A8385C" w:rsidRPr="00BB3D55">
              <w:rPr>
                <w:rFonts w:ascii="Century Gothic" w:eastAsiaTheme="minorHAnsi" w:hAnsi="Century Gothic" w:cs="Verdana"/>
                <w:b/>
              </w:rPr>
              <w:t>5,8</w:t>
            </w:r>
            <w:r w:rsidR="006E65E1" w:rsidRPr="00BB3D55">
              <w:rPr>
                <w:rFonts w:ascii="Century Gothic" w:eastAsiaTheme="minorHAnsi" w:hAnsi="Century Gothic" w:cs="Verdana"/>
                <w:b/>
              </w:rPr>
              <w:t>7</w:t>
            </w:r>
            <w:r w:rsidRPr="00BB3D55">
              <w:rPr>
                <w:rFonts w:ascii="Century Gothic" w:eastAsiaTheme="minorHAnsi" w:hAnsi="Century Gothic" w:cs="Verdana"/>
                <w:b/>
              </w:rPr>
              <w:t>%</w:t>
            </w:r>
          </w:p>
        </w:tc>
        <w:tc>
          <w:tcPr>
            <w:tcW w:w="1986" w:type="dxa"/>
            <w:shd w:val="clear" w:color="auto" w:fill="D9D9D9" w:themeFill="background1" w:themeFillShade="D9"/>
          </w:tcPr>
          <w:p w14:paraId="4525816C" w14:textId="77777777" w:rsidR="00D46EAA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BB3D55">
              <w:rPr>
                <w:rFonts w:ascii="Century Gothic" w:eastAsiaTheme="minorHAnsi" w:hAnsi="Century Gothic" w:cs="Verdana"/>
                <w:b/>
              </w:rPr>
              <w:t>Rentabilidade</w:t>
            </w:r>
            <w:r w:rsidR="00D46EAA">
              <w:rPr>
                <w:rFonts w:ascii="Century Gothic" w:eastAsiaTheme="minorHAnsi" w:hAnsi="Century Gothic" w:cs="Verdana"/>
                <w:b/>
              </w:rPr>
              <w:t xml:space="preserve"> </w:t>
            </w:r>
          </w:p>
          <w:p w14:paraId="4AE2E600" w14:textId="77777777" w:rsidR="00F14B85" w:rsidRPr="00BB3D55" w:rsidRDefault="00926682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>
              <w:rPr>
                <w:rFonts w:ascii="Century Gothic" w:eastAsiaTheme="minorHAnsi" w:hAnsi="Century Gothic" w:cs="Verdana"/>
                <w:b/>
              </w:rPr>
              <w:t xml:space="preserve">(-) </w:t>
            </w:r>
            <w:r w:rsidR="00D46EAA">
              <w:rPr>
                <w:rFonts w:ascii="Century Gothic" w:eastAsiaTheme="minorHAnsi" w:hAnsi="Century Gothic" w:cs="Verdana"/>
                <w:b/>
              </w:rPr>
              <w:t>Meta</w:t>
            </w:r>
            <w:r w:rsidR="00BB3D55" w:rsidRPr="00BB3D55">
              <w:rPr>
                <w:rFonts w:ascii="Century Gothic" w:eastAsiaTheme="minorHAnsi" w:hAnsi="Century Gothic" w:cs="Verdana"/>
                <w:b/>
              </w:rPr>
              <w:t xml:space="preserve">  </w:t>
            </w:r>
          </w:p>
        </w:tc>
        <w:tc>
          <w:tcPr>
            <w:tcW w:w="1667" w:type="dxa"/>
            <w:vMerge w:val="restart"/>
            <w:shd w:val="clear" w:color="auto" w:fill="D9D9D9" w:themeFill="background1" w:themeFillShade="D9"/>
            <w:vAlign w:val="center"/>
          </w:tcPr>
          <w:p w14:paraId="7D9E642A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TAXA</w:t>
            </w:r>
          </w:p>
          <w:p w14:paraId="40759B1D" w14:textId="77777777" w:rsidR="00F14B85" w:rsidRPr="00161971" w:rsidRDefault="00F14B85" w:rsidP="00BB3D55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161971">
              <w:rPr>
                <w:rFonts w:ascii="Century Gothic" w:eastAsiaTheme="minorHAnsi" w:hAnsi="Century Gothic" w:cs="Verdana"/>
                <w:b/>
              </w:rPr>
              <w:t>SELIC</w:t>
            </w:r>
          </w:p>
        </w:tc>
      </w:tr>
      <w:tr w:rsidR="00161971" w14:paraId="36993A49" w14:textId="77777777" w:rsidTr="00D46EAA">
        <w:tc>
          <w:tcPr>
            <w:tcW w:w="1128" w:type="dxa"/>
          </w:tcPr>
          <w:p w14:paraId="1401C0BD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573" w:type="dxa"/>
          </w:tcPr>
          <w:p w14:paraId="224BC70A" w14:textId="6379FE4F" w:rsidR="00F14B85" w:rsidRPr="00BB3D55" w:rsidRDefault="000A50FB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DC7E2E">
              <w:rPr>
                <w:rFonts w:ascii="Century Gothic" w:eastAsiaTheme="minorHAnsi" w:hAnsi="Century Gothic" w:cs="Verdana"/>
              </w:rPr>
              <w:t>0,</w:t>
            </w:r>
            <w:r w:rsidR="003A2E6F">
              <w:rPr>
                <w:rFonts w:ascii="Century Gothic" w:eastAsiaTheme="minorHAnsi" w:hAnsi="Century Gothic" w:cs="Verdana"/>
              </w:rPr>
              <w:t>016</w:t>
            </w:r>
          </w:p>
        </w:tc>
        <w:tc>
          <w:tcPr>
            <w:tcW w:w="832" w:type="dxa"/>
          </w:tcPr>
          <w:p w14:paraId="501F7CD6" w14:textId="6F3AA4BF" w:rsidR="00F14B85" w:rsidRPr="003A2E6F" w:rsidRDefault="00BB3D55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3A2E6F">
              <w:rPr>
                <w:rFonts w:ascii="Century Gothic" w:eastAsiaTheme="minorHAnsi" w:hAnsi="Century Gothic" w:cs="Verdana"/>
              </w:rPr>
              <w:t>0</w:t>
            </w:r>
            <w:r w:rsidR="004B5E19" w:rsidRPr="003A2E6F">
              <w:rPr>
                <w:rFonts w:ascii="Century Gothic" w:eastAsiaTheme="minorHAnsi" w:hAnsi="Century Gothic" w:cs="Verdana"/>
              </w:rPr>
              <w:t>,</w:t>
            </w:r>
            <w:r w:rsidR="003A2E6F" w:rsidRPr="003A2E6F">
              <w:rPr>
                <w:rFonts w:ascii="Century Gothic" w:eastAsiaTheme="minorHAnsi" w:hAnsi="Century Gothic" w:cs="Verdana"/>
              </w:rPr>
              <w:t>86</w:t>
            </w:r>
          </w:p>
        </w:tc>
        <w:tc>
          <w:tcPr>
            <w:tcW w:w="1852" w:type="dxa"/>
          </w:tcPr>
          <w:p w14:paraId="6304EC0A" w14:textId="05E7AEE8" w:rsidR="00F14B85" w:rsidRPr="00161971" w:rsidRDefault="00DC7E2E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</w:t>
            </w:r>
            <w:r w:rsidR="003A2E6F">
              <w:rPr>
                <w:rFonts w:ascii="Century Gothic" w:eastAsiaTheme="minorHAnsi" w:hAnsi="Century Gothic" w:cs="Verdana"/>
              </w:rPr>
              <w:t>341</w:t>
            </w:r>
          </w:p>
        </w:tc>
        <w:tc>
          <w:tcPr>
            <w:tcW w:w="1986" w:type="dxa"/>
          </w:tcPr>
          <w:p w14:paraId="4EE034B7" w14:textId="26356754" w:rsidR="00F14B85" w:rsidRPr="00926682" w:rsidRDefault="000A50FB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-1,</w:t>
            </w:r>
            <w:r w:rsidR="003A2E6F">
              <w:rPr>
                <w:rFonts w:ascii="Century Gothic" w:eastAsiaTheme="minorHAnsi" w:hAnsi="Century Gothic" w:cs="Verdana"/>
              </w:rPr>
              <w:t>356</w:t>
            </w:r>
          </w:p>
        </w:tc>
        <w:tc>
          <w:tcPr>
            <w:tcW w:w="1667" w:type="dxa"/>
            <w:vMerge/>
            <w:shd w:val="clear" w:color="auto" w:fill="D9D9D9" w:themeFill="background1" w:themeFillShade="D9"/>
          </w:tcPr>
          <w:p w14:paraId="0A533EB4" w14:textId="77777777" w:rsidR="00F14B85" w:rsidRPr="00161971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color w:val="FF0000"/>
              </w:rPr>
            </w:pPr>
          </w:p>
        </w:tc>
      </w:tr>
      <w:tr w:rsidR="00161971" w14:paraId="1F43D202" w14:textId="77777777" w:rsidTr="00D46EAA">
        <w:tc>
          <w:tcPr>
            <w:tcW w:w="1128" w:type="dxa"/>
          </w:tcPr>
          <w:p w14:paraId="2F5DD385" w14:textId="77777777"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573" w:type="dxa"/>
          </w:tcPr>
          <w:p w14:paraId="3D88565B" w14:textId="66E39ECD" w:rsidR="00F14B85" w:rsidRPr="00161971" w:rsidRDefault="00DC7E2E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1,6</w:t>
            </w:r>
            <w:r w:rsidR="003A2E6F">
              <w:rPr>
                <w:rFonts w:ascii="Century Gothic" w:eastAsiaTheme="minorHAnsi" w:hAnsi="Century Gothic" w:cs="Verdana"/>
              </w:rPr>
              <w:t>78</w:t>
            </w:r>
          </w:p>
        </w:tc>
        <w:tc>
          <w:tcPr>
            <w:tcW w:w="832" w:type="dxa"/>
          </w:tcPr>
          <w:p w14:paraId="3265AE03" w14:textId="4FDC4AF6" w:rsidR="00F14B85" w:rsidRPr="003A2E6F" w:rsidRDefault="003A2E6F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3A2E6F">
              <w:rPr>
                <w:rFonts w:ascii="Century Gothic" w:eastAsiaTheme="minorHAnsi" w:hAnsi="Century Gothic" w:cs="Verdana"/>
              </w:rPr>
              <w:t>2,22</w:t>
            </w:r>
          </w:p>
        </w:tc>
        <w:tc>
          <w:tcPr>
            <w:tcW w:w="1852" w:type="dxa"/>
          </w:tcPr>
          <w:p w14:paraId="01D1717A" w14:textId="43242326" w:rsidR="00F14B85" w:rsidRPr="00886EE7" w:rsidRDefault="003A2E6F" w:rsidP="00D46EAA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7,19</w:t>
            </w:r>
          </w:p>
        </w:tc>
        <w:tc>
          <w:tcPr>
            <w:tcW w:w="1986" w:type="dxa"/>
          </w:tcPr>
          <w:p w14:paraId="5AFAF444" w14:textId="4EDCE134" w:rsidR="00F14B85" w:rsidRPr="00926682" w:rsidRDefault="00886EE7" w:rsidP="004B5E1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3A2E6F">
              <w:rPr>
                <w:rFonts w:ascii="Century Gothic" w:eastAsiaTheme="minorHAnsi" w:hAnsi="Century Gothic" w:cs="Verdana"/>
              </w:rPr>
              <w:t>5,51</w:t>
            </w:r>
          </w:p>
        </w:tc>
        <w:tc>
          <w:tcPr>
            <w:tcW w:w="1667" w:type="dxa"/>
          </w:tcPr>
          <w:p w14:paraId="6879AF37" w14:textId="77777777" w:rsidR="00F14B85" w:rsidRPr="00161971" w:rsidRDefault="00BC631E" w:rsidP="008C184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 w:rsidRPr="00161971">
              <w:rPr>
                <w:rFonts w:ascii="Century Gothic" w:eastAsiaTheme="minorHAnsi" w:hAnsi="Century Gothic" w:cs="Verdana"/>
              </w:rPr>
              <w:t>2,</w:t>
            </w:r>
            <w:r w:rsidR="008C1848">
              <w:rPr>
                <w:rFonts w:ascii="Century Gothic" w:eastAsiaTheme="minorHAnsi" w:hAnsi="Century Gothic" w:cs="Verdana"/>
              </w:rPr>
              <w:t>00</w:t>
            </w:r>
            <w:r w:rsidR="00F14B85" w:rsidRPr="00161971">
              <w:rPr>
                <w:rFonts w:ascii="Century Gothic" w:eastAsiaTheme="minorHAnsi" w:hAnsi="Century Gothic" w:cs="Verdana"/>
              </w:rPr>
              <w:t xml:space="preserve">% </w:t>
            </w:r>
          </w:p>
        </w:tc>
      </w:tr>
    </w:tbl>
    <w:p w14:paraId="2D9B0A93" w14:textId="3329A6A8" w:rsidR="00FA1BEF" w:rsidRDefault="00FA1BEF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5FEB4C2D" w14:textId="20FD1DC5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  <w:r w:rsidRPr="00AB4091"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drawing>
          <wp:inline distT="0" distB="0" distL="0" distR="0" wp14:anchorId="5CCE9E65" wp14:editId="0AC4166A">
            <wp:extent cx="5734050" cy="46482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8BAF5" w14:textId="7CC8FA61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453A4FFA" w14:textId="691B03A8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4C683C11" w14:textId="55D53190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6EDB55E6" w14:textId="6F7B4AAB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67EC7489" w14:textId="753F93B1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2311EB08" w14:textId="017263F5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1C715D83" w14:textId="441D2436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2D0304BF" w14:textId="67D9DC5D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2BE7D8D8" w14:textId="78769003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777FB01C" w14:textId="78940719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61E13DB2" w14:textId="1908B9FF" w:rsidR="00AB4091" w:rsidRDefault="00AB4091" w:rsidP="00926682">
      <w:pPr>
        <w:autoSpaceDE w:val="0"/>
        <w:autoSpaceDN w:val="0"/>
        <w:adjustRightInd w:val="0"/>
        <w:spacing w:line="240" w:lineRule="auto"/>
        <w:jc w:val="left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</w:p>
    <w:p w14:paraId="7C2A2C38" w14:textId="6310051C" w:rsidR="00AB4091" w:rsidRDefault="00AB4091" w:rsidP="00692E0F">
      <w:pPr>
        <w:autoSpaceDE w:val="0"/>
        <w:autoSpaceDN w:val="0"/>
        <w:adjustRightInd w:val="0"/>
        <w:spacing w:line="240" w:lineRule="auto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lastRenderedPageBreak/>
        <w:t xml:space="preserve">Na última decisão de política monetária, o Copom manteve estável a taxa selic em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2%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a a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em linha com as expectativas de mercado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O Comitê segue avaliando que o cenário externo é de incerteza elevada e que a ressurgência da COVID 19 em alguns países pode fazer com que a recuperação econômica sofra uma desaceleração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Na ata, o BCB também esclareceu que flexibilizações da âncora fiscal seriam suficientes para o fim da prescrição futura de manutenção de juros baixos por tempo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prolongado, ainda que o teto de gastos seja mantido nominalmente, reforçando suas preocupações em relação ao processo de consolidação fiscal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Assim, mantivemos nossa visão de que a Selic permanecerá estável até agosto de 2021</w:t>
      </w:r>
      <w:r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  <w:t>.</w:t>
      </w:r>
    </w:p>
    <w:p w14:paraId="59587CC3" w14:textId="5AF931E2" w:rsidR="00AB4091" w:rsidRDefault="00AB4091" w:rsidP="00692E0F">
      <w:pPr>
        <w:autoSpaceDE w:val="0"/>
        <w:autoSpaceDN w:val="0"/>
        <w:adjustRightInd w:val="0"/>
        <w:spacing w:line="240" w:lineRule="auto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O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IPCA acelerou de 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0,64%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para 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0,86% em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outubro, acima da mediana das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expectativas de mercado apuradas pela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Agência Estado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Em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12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meses o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IPCA acumula alta de </w:t>
      </w:r>
      <w:r w:rsidR="00AF17F6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3,92%.</w:t>
      </w:r>
    </w:p>
    <w:p w14:paraId="0DF0A935" w14:textId="63F93740" w:rsidR="00AB4091" w:rsidRPr="00BD3AEF" w:rsidRDefault="00AF17F6" w:rsidP="00BD3AEF">
      <w:pPr>
        <w:autoSpaceDE w:val="0"/>
        <w:autoSpaceDN w:val="0"/>
        <w:adjustRightInd w:val="0"/>
        <w:spacing w:line="240" w:lineRule="auto"/>
        <w:ind w:right="-1"/>
        <w:rPr>
          <w:rFonts w:ascii="Century Gothic" w:eastAsiaTheme="minorHAnsi" w:hAnsi="Century Gothic" w:cs="Verdana"/>
          <w:noProof/>
          <w:color w:val="000000"/>
          <w:lang w:eastAsia="pt-BR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Nos EUA o resultado da 1ª prévia do PIB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do 3T20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trouxe uma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expansão de 33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,1%,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contra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31,4%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do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trimestre imediatamente anterior,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indicando o bom momento da economia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norte americana após superada a fase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mais aguda da pandemia de COVID 19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</w:p>
    <w:p w14:paraId="001C161A" w14:textId="6AC97DEB" w:rsidR="00AB4091" w:rsidRPr="00BD3AEF" w:rsidRDefault="00AF17F6" w:rsidP="00692E0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noProof/>
          <w:color w:val="000000"/>
          <w:lang w:eastAsia="pt-BR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Na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Zona do Euro a 1 ª prévia do PIB do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3T20 indicou uma expansão de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12,7%,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contra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11,8%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do trimestre anterior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O resultado foi influenciado pelo bom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desempenho das principais economias do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bloco, com a Alemanha apresentando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expansão de 8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2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%,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França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18,2%,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Itália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16,1%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e a Espanha 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16,7%.</w:t>
      </w:r>
    </w:p>
    <w:p w14:paraId="71B663DB" w14:textId="6AF1D2B5" w:rsidR="00AB4091" w:rsidRDefault="00AF17F6" w:rsidP="00692E0F">
      <w:pPr>
        <w:autoSpaceDE w:val="0"/>
        <w:autoSpaceDN w:val="0"/>
        <w:adjustRightInd w:val="0"/>
        <w:spacing w:line="240" w:lineRule="auto"/>
        <w:rPr>
          <w:rFonts w:ascii="Verdana" w:eastAsiaTheme="minorHAnsi" w:hAnsi="Verdana" w:cs="Verdana"/>
          <w:noProof/>
          <w:color w:val="000000"/>
          <w:sz w:val="24"/>
          <w:szCs w:val="24"/>
          <w:lang w:eastAsia="pt-BR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A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China segue em ritmo acelerado de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recuperação, com os estímulos fiscais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promovidos em larga escala pela maior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parte dos países desenvolvidos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influenciando positivamente suas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exportações</w:t>
      </w:r>
      <w:r w:rsidR="00BD3AEF">
        <w:rPr>
          <w:rFonts w:ascii="Century Gothic" w:eastAsiaTheme="minorHAnsi" w:hAnsi="Century Gothic" w:cs="Verdana"/>
          <w:noProof/>
          <w:color w:val="000000"/>
          <w:lang w:eastAsia="pt-BR"/>
        </w:rPr>
        <w:t>.</w:t>
      </w:r>
    </w:p>
    <w:p w14:paraId="70D6F955" w14:textId="5A2D4DA2" w:rsidR="00AF17F6" w:rsidRPr="00BD3AEF" w:rsidRDefault="00AF17F6" w:rsidP="00BD3AE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No mês, o resultado da eleição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presidencial nos EUA, com a vitória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do democrata Joe Biden e o impacto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da nova onda de medidas de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restrição à circulação de pessoas,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devido à segunda onda da COVID 19,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sobre os indicadores de atividade,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especialmente nos países europeus,</w:t>
      </w:r>
      <w:r w:rsidR="00BD3AE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>serão os principais destaques.</w:t>
      </w:r>
      <w:r w:rsidR="00692E0F" w:rsidRPr="00BD3AEF">
        <w:rPr>
          <w:rFonts w:ascii="Century Gothic" w:eastAsiaTheme="minorHAnsi" w:hAnsi="Century Gothic" w:cs="Verdana"/>
          <w:noProof/>
          <w:color w:val="000000"/>
          <w:lang w:eastAsia="pt-BR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Em outubro, de acordo com OMS, a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pandemia alcançou um total de 45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milhões de casos e 1,1 milhão de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óbitos, com os EUA concentrando a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maior parte desse total.</w:t>
      </w:r>
    </w:p>
    <w:p w14:paraId="3EBF4B72" w14:textId="4C1C7C88" w:rsidR="00AF17F6" w:rsidRPr="00BD3AEF" w:rsidRDefault="00AF17F6" w:rsidP="00692E0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BD3AEF">
        <w:rPr>
          <w:rFonts w:ascii="Century Gothic" w:eastAsiaTheme="minorHAnsi" w:hAnsi="Century Gothic" w:cs="Verdana"/>
          <w:color w:val="000000"/>
        </w:rPr>
        <w:t>Seguimos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 xml:space="preserve">ainda com a leitura de manutenção da SELIC em 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2,00% </w:t>
      </w:r>
      <w:r w:rsidRPr="00BD3AEF">
        <w:rPr>
          <w:rFonts w:ascii="Century Gothic" w:eastAsiaTheme="minorHAnsi" w:hAnsi="Century Gothic" w:cs="Verdana"/>
          <w:color w:val="000000"/>
        </w:rPr>
        <w:t>este ano, bem como mantivemos, a princípio, o timing velocidade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e orçamento previstos para normalização dos juros locais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. </w:t>
      </w:r>
      <w:r w:rsidRPr="00BD3AEF">
        <w:rPr>
          <w:rFonts w:ascii="Century Gothic" w:eastAsiaTheme="minorHAnsi" w:hAnsi="Century Gothic" w:cs="Verdana"/>
          <w:color w:val="000000"/>
        </w:rPr>
        <w:t>Esperamos assim, que a SELIC inicie o movimento de alta apenas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 xml:space="preserve">no 3T21 encerrando a </w:t>
      </w:r>
      <w:r w:rsidR="00BD3AEF" w:rsidRPr="00BD3AEF">
        <w:rPr>
          <w:rFonts w:ascii="Century Gothic" w:eastAsiaTheme="minorHAnsi" w:hAnsi="Century Gothic" w:cs="Verdana"/>
          <w:color w:val="000000"/>
        </w:rPr>
        <w:t>3%</w:t>
      </w:r>
      <w:r w:rsidRPr="00BD3AEF">
        <w:rPr>
          <w:rFonts w:ascii="Century Gothic" w:eastAsiaTheme="minorHAnsi" w:hAnsi="Century Gothic" w:cs="Verdana"/>
          <w:color w:val="000000"/>
        </w:rPr>
        <w:t xml:space="preserve"> naquele ano e </w:t>
      </w:r>
      <w:r w:rsidR="00BD3AEF" w:rsidRPr="00BD3AEF">
        <w:rPr>
          <w:rFonts w:ascii="Century Gothic" w:eastAsiaTheme="minorHAnsi" w:hAnsi="Century Gothic" w:cs="Verdana"/>
          <w:color w:val="000000"/>
        </w:rPr>
        <w:t>5%</w:t>
      </w:r>
      <w:r w:rsidRPr="00BD3AEF">
        <w:rPr>
          <w:rFonts w:ascii="Century Gothic" w:eastAsiaTheme="minorHAnsi" w:hAnsi="Century Gothic" w:cs="Verdana"/>
          <w:color w:val="000000"/>
        </w:rPr>
        <w:t xml:space="preserve"> em 2022</w:t>
      </w:r>
      <w:r w:rsidR="00BD3AEF" w:rsidRPr="00BD3AEF">
        <w:rPr>
          <w:rFonts w:ascii="Century Gothic" w:eastAsiaTheme="minorHAnsi" w:hAnsi="Century Gothic" w:cs="Verdana"/>
          <w:color w:val="000000"/>
        </w:rPr>
        <w:t>.</w:t>
      </w:r>
    </w:p>
    <w:p w14:paraId="58E2BAB9" w14:textId="3DF18726" w:rsidR="00AF17F6" w:rsidRPr="00BD3AEF" w:rsidRDefault="00AF17F6" w:rsidP="00692E0F">
      <w:pPr>
        <w:autoSpaceDE w:val="0"/>
        <w:autoSpaceDN w:val="0"/>
        <w:adjustRightInd w:val="0"/>
        <w:spacing w:line="240" w:lineRule="auto"/>
        <w:rPr>
          <w:rFonts w:ascii="Century Gothic" w:eastAsiaTheme="minorHAnsi" w:hAnsi="Century Gothic" w:cs="Verdana"/>
          <w:color w:val="000000"/>
        </w:rPr>
      </w:pPr>
      <w:r w:rsidRPr="00BD3AEF">
        <w:rPr>
          <w:rFonts w:ascii="Century Gothic" w:eastAsiaTheme="minorHAnsi" w:hAnsi="Century Gothic" w:cs="Verdana"/>
          <w:color w:val="000000"/>
        </w:rPr>
        <w:t>Entretanto, não podemos negar que o risco para concretização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desse cenário aumentou nos últimos meses, em função das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incertezas com relação às contas públicas brasileiras, retomada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mais forte da atividade e inflação alta no atacado, com algum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repasse já para o varejo</w:t>
      </w:r>
      <w:r w:rsidR="00BD3AEF" w:rsidRPr="00BD3AEF">
        <w:rPr>
          <w:rFonts w:ascii="Century Gothic" w:eastAsiaTheme="minorHAnsi" w:hAnsi="Century Gothic" w:cs="Verdana"/>
          <w:color w:val="000000"/>
        </w:rPr>
        <w:t>.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Prospectivamente,</w:t>
      </w:r>
      <w:r w:rsidR="00692E0F" w:rsidRPr="00BD3AEF">
        <w:rPr>
          <w:rFonts w:ascii="Century Gothic" w:eastAsiaTheme="minorHAnsi" w:hAnsi="Century Gothic" w:cs="Verdana"/>
          <w:color w:val="000000"/>
        </w:rPr>
        <w:t xml:space="preserve"> </w:t>
      </w:r>
      <w:r w:rsidRPr="00BD3AEF">
        <w:rPr>
          <w:rFonts w:ascii="Century Gothic" w:eastAsiaTheme="minorHAnsi" w:hAnsi="Century Gothic" w:cs="Verdana"/>
          <w:color w:val="000000"/>
        </w:rPr>
        <w:t>continuamos cautelosos na tomada de risco, principalmente em função das incertezas fiscais</w:t>
      </w:r>
      <w:r w:rsidR="00BD3AEF" w:rsidRPr="00BD3AEF">
        <w:rPr>
          <w:rFonts w:ascii="Century Gothic" w:eastAsiaTheme="minorHAnsi" w:hAnsi="Century Gothic" w:cs="Verdana"/>
          <w:color w:val="000000"/>
        </w:rPr>
        <w:t xml:space="preserve">. </w:t>
      </w:r>
    </w:p>
    <w:p w14:paraId="65D50C88" w14:textId="4D57B548" w:rsidR="00F87FCD" w:rsidRPr="006E6F1E" w:rsidRDefault="00F87FCD" w:rsidP="00692E0F">
      <w:pPr>
        <w:autoSpaceDE w:val="0"/>
        <w:autoSpaceDN w:val="0"/>
        <w:adjustRightInd w:val="0"/>
        <w:rPr>
          <w:rFonts w:ascii="Century Gothic" w:hAnsi="Century Gothic" w:cs="Arial"/>
        </w:rPr>
      </w:pPr>
      <w:r w:rsidRPr="006E6F1E">
        <w:rPr>
          <w:rFonts w:ascii="Century Gothic" w:hAnsi="Century Gothic"/>
        </w:rPr>
        <w:t xml:space="preserve">Diante das análises, o comitê </w:t>
      </w:r>
      <w:r w:rsidR="00A273FC" w:rsidRPr="006E6F1E">
        <w:rPr>
          <w:rFonts w:ascii="Century Gothic" w:hAnsi="Century Gothic"/>
        </w:rPr>
        <w:t>decidiu</w:t>
      </w:r>
      <w:r w:rsidR="004F5D0D" w:rsidRPr="006E6F1E">
        <w:rPr>
          <w:rFonts w:ascii="Century Gothic" w:hAnsi="Century Gothic"/>
        </w:rPr>
        <w:t xml:space="preserve"> </w:t>
      </w:r>
      <w:r w:rsidR="0001739C" w:rsidRPr="006E6F1E">
        <w:rPr>
          <w:rFonts w:ascii="Century Gothic" w:hAnsi="Century Gothic"/>
        </w:rPr>
        <w:t xml:space="preserve">por: </w:t>
      </w:r>
      <w:r w:rsidR="006A1A8B" w:rsidRPr="006E6F1E">
        <w:rPr>
          <w:rFonts w:ascii="Century Gothic" w:hAnsi="Century Gothic"/>
        </w:rPr>
        <w:t>Aplicar</w:t>
      </w:r>
      <w:r w:rsidR="006E6F1E" w:rsidRPr="006E6F1E">
        <w:rPr>
          <w:rFonts w:ascii="Century Gothic" w:hAnsi="Century Gothic"/>
        </w:rPr>
        <w:t xml:space="preserve"> nos Fundos </w:t>
      </w:r>
      <w:proofErr w:type="gramStart"/>
      <w:r w:rsidR="006E6F1E" w:rsidRPr="006E6F1E">
        <w:rPr>
          <w:rFonts w:ascii="Century Gothic" w:hAnsi="Century Gothic"/>
        </w:rPr>
        <w:t xml:space="preserve">BB, </w:t>
      </w:r>
      <w:r w:rsidR="006A1A8B" w:rsidRPr="006E6F1E">
        <w:rPr>
          <w:rFonts w:ascii="Century Gothic" w:hAnsi="Century Gothic"/>
        </w:rPr>
        <w:t xml:space="preserve"> </w:t>
      </w:r>
      <w:r w:rsidR="000E73BB" w:rsidRPr="006E6F1E">
        <w:rPr>
          <w:rFonts w:ascii="Century Gothic" w:hAnsi="Century Gothic"/>
        </w:rPr>
        <w:t>$</w:t>
      </w:r>
      <w:proofErr w:type="gramEnd"/>
      <w:r w:rsidR="000E73BB" w:rsidRPr="006E6F1E">
        <w:rPr>
          <w:rFonts w:ascii="Century Gothic" w:hAnsi="Century Gothic"/>
        </w:rPr>
        <w:t xml:space="preserve">500.000,00 no Fundo </w:t>
      </w:r>
      <w:r w:rsidR="006E6F1E" w:rsidRPr="006E6F1E">
        <w:rPr>
          <w:rFonts w:ascii="Century Gothic" w:hAnsi="Century Gothic"/>
        </w:rPr>
        <w:t xml:space="preserve">Ações </w:t>
      </w:r>
      <w:r w:rsidR="006E6F1E" w:rsidRPr="006E6F1E">
        <w:rPr>
          <w:rFonts w:ascii="Century Gothic" w:hAnsi="Century Gothic"/>
        </w:rPr>
        <w:t>Alocação</w:t>
      </w:r>
      <w:r w:rsidR="006E6F1E" w:rsidRPr="006E6F1E">
        <w:rPr>
          <w:rFonts w:ascii="Century Gothic" w:hAnsi="Century Gothic"/>
        </w:rPr>
        <w:t xml:space="preserve">  </w:t>
      </w:r>
      <w:r w:rsidR="00612384" w:rsidRPr="006E6F1E">
        <w:rPr>
          <w:rFonts w:ascii="Century Gothic" w:hAnsi="Century Gothic"/>
        </w:rPr>
        <w:t xml:space="preserve">; </w:t>
      </w:r>
      <w:r w:rsidR="006E6F1E" w:rsidRPr="006E6F1E">
        <w:rPr>
          <w:rFonts w:ascii="Century Gothic" w:hAnsi="Century Gothic"/>
        </w:rPr>
        <w:t xml:space="preserve">$700.000,00 no FundoIDKA2 </w:t>
      </w:r>
      <w:r w:rsidR="00612384" w:rsidRPr="006E6F1E">
        <w:rPr>
          <w:rFonts w:ascii="Century Gothic" w:hAnsi="Century Gothic"/>
        </w:rPr>
        <w:t xml:space="preserve">e $500.000,00 no Fundo IRFM1 do BB. </w:t>
      </w:r>
      <w:r w:rsidR="00595DCF" w:rsidRPr="006E6F1E">
        <w:rPr>
          <w:rFonts w:ascii="Century Gothic" w:hAnsi="Century Gothic"/>
          <w:shd w:val="clear" w:color="auto" w:fill="FFFFFF" w:themeFill="background1"/>
        </w:rPr>
        <w:t xml:space="preserve">O valor da </w:t>
      </w:r>
      <w:r w:rsidR="00BC041A" w:rsidRPr="006E6F1E">
        <w:rPr>
          <w:rFonts w:ascii="Century Gothic" w:hAnsi="Century Gothic"/>
          <w:shd w:val="clear" w:color="auto" w:fill="FFFFFF" w:themeFill="background1"/>
        </w:rPr>
        <w:t xml:space="preserve">taxa de administração será aplicado </w:t>
      </w:r>
      <w:r w:rsidR="00595DCF" w:rsidRPr="006E6F1E">
        <w:rPr>
          <w:rFonts w:ascii="Century Gothic" w:hAnsi="Century Gothic"/>
          <w:shd w:val="clear" w:color="auto" w:fill="FFFFFF" w:themeFill="background1"/>
        </w:rPr>
        <w:t xml:space="preserve">no </w:t>
      </w:r>
      <w:r w:rsidR="00BC041A" w:rsidRPr="006E6F1E">
        <w:rPr>
          <w:rFonts w:ascii="Century Gothic" w:hAnsi="Century Gothic"/>
          <w:shd w:val="clear" w:color="auto" w:fill="FFFFFF" w:themeFill="background1"/>
        </w:rPr>
        <w:t>Fundo</w:t>
      </w:r>
      <w:r w:rsidRPr="006E6F1E">
        <w:rPr>
          <w:rFonts w:ascii="Century Gothic" w:eastAsiaTheme="minorHAnsi" w:hAnsi="Century Gothic" w:cs="BookmanOldStyle"/>
        </w:rPr>
        <w:t xml:space="preserve"> </w:t>
      </w:r>
      <w:r w:rsidR="006E6F1E" w:rsidRPr="006E6F1E">
        <w:rPr>
          <w:rFonts w:ascii="Century Gothic" w:eastAsiaTheme="minorHAnsi" w:hAnsi="Century Gothic" w:cs="BookmanOldStyle"/>
        </w:rPr>
        <w:t>IRFM</w:t>
      </w:r>
      <w:proofErr w:type="gramStart"/>
      <w:r w:rsidR="006E6F1E" w:rsidRPr="006E6F1E">
        <w:rPr>
          <w:rFonts w:ascii="Century Gothic" w:eastAsiaTheme="minorHAnsi" w:hAnsi="Century Gothic" w:cs="BookmanOldStyle"/>
        </w:rPr>
        <w:t xml:space="preserve">1 </w:t>
      </w:r>
      <w:r w:rsidR="000D32D7" w:rsidRPr="006E6F1E">
        <w:rPr>
          <w:rFonts w:ascii="Century Gothic" w:eastAsiaTheme="minorHAnsi" w:hAnsi="Century Gothic" w:cs="BookmanOldStyle"/>
        </w:rPr>
        <w:t xml:space="preserve"> </w:t>
      </w:r>
      <w:r w:rsidRPr="006E6F1E">
        <w:rPr>
          <w:rFonts w:ascii="Century Gothic" w:eastAsiaTheme="minorHAnsi" w:hAnsi="Century Gothic" w:cs="BookmanOldStyle"/>
        </w:rPr>
        <w:t>do</w:t>
      </w:r>
      <w:proofErr w:type="gramEnd"/>
      <w:r w:rsidRPr="006E6F1E">
        <w:rPr>
          <w:rFonts w:ascii="Century Gothic" w:eastAsiaTheme="minorHAnsi" w:hAnsi="Century Gothic" w:cs="BookmanOldStyle"/>
        </w:rPr>
        <w:t xml:space="preserve"> BB</w:t>
      </w:r>
      <w:r w:rsidR="00612384" w:rsidRPr="006E6F1E">
        <w:rPr>
          <w:rFonts w:ascii="Century Gothic" w:eastAsiaTheme="minorHAnsi" w:hAnsi="Century Gothic" w:cs="BookmanOldStyle"/>
        </w:rPr>
        <w:t>, sendo que o restante ficará disponível para pagamento de salários de ativos, pensionistas e aposentados.</w:t>
      </w:r>
    </w:p>
    <w:p w14:paraId="1B938971" w14:textId="63852EEB" w:rsidR="00516448" w:rsidRPr="0001739C" w:rsidRDefault="00E44965" w:rsidP="00692E0F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01739C">
        <w:rPr>
          <w:rFonts w:ascii="Century Gothic" w:hAnsi="Century Gothic" w:cs="Arial"/>
          <w:color w:val="000000" w:themeColor="text1"/>
        </w:rPr>
        <w:t xml:space="preserve">Nada mais havendo a tratar, a reunião foi encerrada às </w:t>
      </w:r>
      <w:r w:rsidR="006E6F1E">
        <w:rPr>
          <w:rFonts w:ascii="Century Gothic" w:hAnsi="Century Gothic" w:cs="Arial"/>
          <w:color w:val="000000" w:themeColor="text1"/>
        </w:rPr>
        <w:t>10:45</w:t>
      </w:r>
      <w:r w:rsidRPr="0001739C">
        <w:rPr>
          <w:rFonts w:ascii="Century Gothic" w:hAnsi="Century Gothic" w:cs="Arial"/>
          <w:color w:val="000000" w:themeColor="text1"/>
        </w:rPr>
        <w:t xml:space="preserve">hs, onde a ata foi lida, aprovada e </w:t>
      </w:r>
      <w:r w:rsidR="005D5D04" w:rsidRPr="0001739C">
        <w:rPr>
          <w:rFonts w:ascii="Century Gothic" w:hAnsi="Century Gothic" w:cs="Arial"/>
          <w:color w:val="000000" w:themeColor="text1"/>
        </w:rPr>
        <w:t xml:space="preserve">será </w:t>
      </w:r>
      <w:r w:rsidRPr="0001739C">
        <w:rPr>
          <w:rFonts w:ascii="Century Gothic" w:hAnsi="Century Gothic" w:cs="Arial"/>
          <w:color w:val="000000" w:themeColor="text1"/>
        </w:rPr>
        <w:t>assinada pelos integrantes do comitê presentes à reunião</w:t>
      </w:r>
      <w:r w:rsidR="00516448" w:rsidRPr="0001739C">
        <w:rPr>
          <w:rFonts w:ascii="Century Gothic" w:hAnsi="Century Gothic" w:cs="Arial"/>
          <w:color w:val="000000" w:themeColor="text1"/>
        </w:rPr>
        <w:t>.</w:t>
      </w:r>
    </w:p>
    <w:p w14:paraId="28EEA98C" w14:textId="77777777" w:rsidR="005D5D04" w:rsidRPr="0001739C" w:rsidRDefault="005D5D04" w:rsidP="00692E0F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2E3C3E96" w14:textId="77777777" w:rsidR="00E8001D" w:rsidRDefault="00E8001D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14:paraId="5839CB92" w14:textId="77777777" w:rsidR="005D5D04" w:rsidRPr="000D5099" w:rsidRDefault="005D5D04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14:paraId="41C20567" w14:textId="3337E558" w:rsidR="003E2CF3" w:rsidRPr="003E2CF3" w:rsidRDefault="00382AEC" w:rsidP="00382AEC">
      <w:pPr>
        <w:ind w:left="-284" w:right="-427"/>
        <w:rPr>
          <w:rFonts w:ascii="Century Gothic" w:hAnsi="Century Gothic" w:cs="Arial"/>
        </w:rPr>
      </w:pPr>
      <w:r w:rsidRPr="003E2CF3">
        <w:rPr>
          <w:rFonts w:ascii="Century Gothic" w:hAnsi="Century Gothic" w:cs="Arial"/>
          <w:sz w:val="24"/>
          <w:szCs w:val="24"/>
        </w:rPr>
        <w:t xml:space="preserve">    Adauto C. Mariola    João B. André     Agnaldo S. </w:t>
      </w:r>
      <w:proofErr w:type="spellStart"/>
      <w:r w:rsidRPr="003E2CF3">
        <w:rPr>
          <w:rFonts w:ascii="Century Gothic" w:hAnsi="Century Gothic" w:cs="Arial"/>
          <w:sz w:val="24"/>
          <w:szCs w:val="24"/>
        </w:rPr>
        <w:t>Masson</w:t>
      </w:r>
      <w:proofErr w:type="spellEnd"/>
      <w:r w:rsidRPr="003E2CF3">
        <w:rPr>
          <w:rFonts w:ascii="Century Gothic" w:hAnsi="Century Gothic" w:cs="Arial"/>
          <w:sz w:val="24"/>
          <w:szCs w:val="24"/>
        </w:rPr>
        <w:t xml:space="preserve">       Alexandre V. Lima</w:t>
      </w:r>
    </w:p>
    <w:sectPr w:rsidR="003E2CF3" w:rsidRPr="003E2CF3" w:rsidSect="00377034">
      <w:headerReference w:type="default" r:id="rId9"/>
      <w:footerReference w:type="default" r:id="rId10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3783AF" w14:textId="77777777"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14:paraId="0C636699" w14:textId="77777777"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FC3B5B" w14:textId="77777777"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14:paraId="1A7DEA7A" w14:textId="77777777"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430EAD" w14:textId="77777777"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14:paraId="008C60EB" w14:textId="77777777"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D21203" w14:textId="77777777"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2D69364" wp14:editId="6CE13333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16761D7F" wp14:editId="4C564F40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0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CFD"/>
    <w:rsid w:val="0000235D"/>
    <w:rsid w:val="000038EF"/>
    <w:rsid w:val="00004777"/>
    <w:rsid w:val="00005398"/>
    <w:rsid w:val="000133A8"/>
    <w:rsid w:val="00016061"/>
    <w:rsid w:val="000163FB"/>
    <w:rsid w:val="0001739C"/>
    <w:rsid w:val="00020D6F"/>
    <w:rsid w:val="00020F71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649"/>
    <w:rsid w:val="00062E1F"/>
    <w:rsid w:val="00065C90"/>
    <w:rsid w:val="000711CD"/>
    <w:rsid w:val="0007386E"/>
    <w:rsid w:val="00074061"/>
    <w:rsid w:val="00074279"/>
    <w:rsid w:val="00091414"/>
    <w:rsid w:val="00092656"/>
    <w:rsid w:val="000973EA"/>
    <w:rsid w:val="000A040A"/>
    <w:rsid w:val="000A0510"/>
    <w:rsid w:val="000A11DE"/>
    <w:rsid w:val="000A50FB"/>
    <w:rsid w:val="000A5A82"/>
    <w:rsid w:val="000A708E"/>
    <w:rsid w:val="000B566E"/>
    <w:rsid w:val="000B65A9"/>
    <w:rsid w:val="000C238A"/>
    <w:rsid w:val="000D0501"/>
    <w:rsid w:val="000D1375"/>
    <w:rsid w:val="000D2110"/>
    <w:rsid w:val="000D2DAD"/>
    <w:rsid w:val="000D32D7"/>
    <w:rsid w:val="000D5099"/>
    <w:rsid w:val="000D57CE"/>
    <w:rsid w:val="000D60B5"/>
    <w:rsid w:val="000D760D"/>
    <w:rsid w:val="000E60B4"/>
    <w:rsid w:val="000E73BB"/>
    <w:rsid w:val="000E7E1D"/>
    <w:rsid w:val="000F6256"/>
    <w:rsid w:val="000F6A3E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47307"/>
    <w:rsid w:val="001516C0"/>
    <w:rsid w:val="00155962"/>
    <w:rsid w:val="0015712E"/>
    <w:rsid w:val="00161971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3E0"/>
    <w:rsid w:val="001A1AD3"/>
    <w:rsid w:val="001A4403"/>
    <w:rsid w:val="001A54D9"/>
    <w:rsid w:val="001B5A68"/>
    <w:rsid w:val="001C0E0D"/>
    <w:rsid w:val="001C2F5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1F48B3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31F59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5695E"/>
    <w:rsid w:val="002624D4"/>
    <w:rsid w:val="00262A17"/>
    <w:rsid w:val="00266401"/>
    <w:rsid w:val="00270F4B"/>
    <w:rsid w:val="002724D8"/>
    <w:rsid w:val="00273045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078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82AEC"/>
    <w:rsid w:val="003914F1"/>
    <w:rsid w:val="003A10B8"/>
    <w:rsid w:val="003A2E6F"/>
    <w:rsid w:val="003A3C75"/>
    <w:rsid w:val="003A7154"/>
    <w:rsid w:val="003B1056"/>
    <w:rsid w:val="003B1292"/>
    <w:rsid w:val="003B1918"/>
    <w:rsid w:val="003B1E86"/>
    <w:rsid w:val="003B3608"/>
    <w:rsid w:val="003B37FD"/>
    <w:rsid w:val="003B68AE"/>
    <w:rsid w:val="003C0384"/>
    <w:rsid w:val="003C184B"/>
    <w:rsid w:val="003C3F6E"/>
    <w:rsid w:val="003C43BA"/>
    <w:rsid w:val="003E2CF3"/>
    <w:rsid w:val="003E32DD"/>
    <w:rsid w:val="003E7955"/>
    <w:rsid w:val="003F756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422D3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6A36"/>
    <w:rsid w:val="004A7DF7"/>
    <w:rsid w:val="004B1351"/>
    <w:rsid w:val="004B437D"/>
    <w:rsid w:val="004B5E19"/>
    <w:rsid w:val="004B75D3"/>
    <w:rsid w:val="004C7A4D"/>
    <w:rsid w:val="004D1A6C"/>
    <w:rsid w:val="004D46B9"/>
    <w:rsid w:val="004E1F58"/>
    <w:rsid w:val="004E2C69"/>
    <w:rsid w:val="004E3620"/>
    <w:rsid w:val="004E66CD"/>
    <w:rsid w:val="004E6E8B"/>
    <w:rsid w:val="004F3549"/>
    <w:rsid w:val="004F50E1"/>
    <w:rsid w:val="004F5CB0"/>
    <w:rsid w:val="004F5D0D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4785"/>
    <w:rsid w:val="00536783"/>
    <w:rsid w:val="00536D8B"/>
    <w:rsid w:val="0054251E"/>
    <w:rsid w:val="00552684"/>
    <w:rsid w:val="00553822"/>
    <w:rsid w:val="00556AC1"/>
    <w:rsid w:val="005575D5"/>
    <w:rsid w:val="00565628"/>
    <w:rsid w:val="005759F1"/>
    <w:rsid w:val="00580586"/>
    <w:rsid w:val="00582033"/>
    <w:rsid w:val="005855C0"/>
    <w:rsid w:val="005861DC"/>
    <w:rsid w:val="00594E58"/>
    <w:rsid w:val="00595D9D"/>
    <w:rsid w:val="00595DCF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2E9"/>
    <w:rsid w:val="005D1F32"/>
    <w:rsid w:val="005D2B9E"/>
    <w:rsid w:val="005D3324"/>
    <w:rsid w:val="005D5D04"/>
    <w:rsid w:val="005E5499"/>
    <w:rsid w:val="005F0497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2384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2E0F"/>
    <w:rsid w:val="00693930"/>
    <w:rsid w:val="00693C2E"/>
    <w:rsid w:val="00695910"/>
    <w:rsid w:val="006A0885"/>
    <w:rsid w:val="006A10F8"/>
    <w:rsid w:val="006A1A8B"/>
    <w:rsid w:val="006A215E"/>
    <w:rsid w:val="006A6410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E6F1E"/>
    <w:rsid w:val="006F1442"/>
    <w:rsid w:val="007031D3"/>
    <w:rsid w:val="0070375C"/>
    <w:rsid w:val="00704FC5"/>
    <w:rsid w:val="0071325E"/>
    <w:rsid w:val="00713B8A"/>
    <w:rsid w:val="00714264"/>
    <w:rsid w:val="00714F26"/>
    <w:rsid w:val="00720927"/>
    <w:rsid w:val="00721A39"/>
    <w:rsid w:val="00722C5B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D0FCA"/>
    <w:rsid w:val="007E14EB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7CC"/>
    <w:rsid w:val="00810B1A"/>
    <w:rsid w:val="00812327"/>
    <w:rsid w:val="00815850"/>
    <w:rsid w:val="00816CBA"/>
    <w:rsid w:val="00821757"/>
    <w:rsid w:val="008303A1"/>
    <w:rsid w:val="00830710"/>
    <w:rsid w:val="0083296A"/>
    <w:rsid w:val="0083771B"/>
    <w:rsid w:val="00842CC5"/>
    <w:rsid w:val="00844DFC"/>
    <w:rsid w:val="00850D61"/>
    <w:rsid w:val="00856158"/>
    <w:rsid w:val="00861938"/>
    <w:rsid w:val="008622EE"/>
    <w:rsid w:val="00865963"/>
    <w:rsid w:val="008674DE"/>
    <w:rsid w:val="00871249"/>
    <w:rsid w:val="00871469"/>
    <w:rsid w:val="00874281"/>
    <w:rsid w:val="00875280"/>
    <w:rsid w:val="0088008E"/>
    <w:rsid w:val="00884B59"/>
    <w:rsid w:val="00886EE7"/>
    <w:rsid w:val="00893D8F"/>
    <w:rsid w:val="008A3A81"/>
    <w:rsid w:val="008A7CAD"/>
    <w:rsid w:val="008B13CC"/>
    <w:rsid w:val="008B7204"/>
    <w:rsid w:val="008C040B"/>
    <w:rsid w:val="008C1848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682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3A35"/>
    <w:rsid w:val="00A07AEC"/>
    <w:rsid w:val="00A13D35"/>
    <w:rsid w:val="00A204EE"/>
    <w:rsid w:val="00A2117D"/>
    <w:rsid w:val="00A25947"/>
    <w:rsid w:val="00A273FC"/>
    <w:rsid w:val="00A33BA4"/>
    <w:rsid w:val="00A37D16"/>
    <w:rsid w:val="00A46E96"/>
    <w:rsid w:val="00A47978"/>
    <w:rsid w:val="00A562AE"/>
    <w:rsid w:val="00A577A0"/>
    <w:rsid w:val="00A6051A"/>
    <w:rsid w:val="00A60E8D"/>
    <w:rsid w:val="00A6501E"/>
    <w:rsid w:val="00A713AD"/>
    <w:rsid w:val="00A71476"/>
    <w:rsid w:val="00A730F1"/>
    <w:rsid w:val="00A8385C"/>
    <w:rsid w:val="00A840CD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97B29"/>
    <w:rsid w:val="00AA0CAF"/>
    <w:rsid w:val="00AA1861"/>
    <w:rsid w:val="00AA198D"/>
    <w:rsid w:val="00AB0224"/>
    <w:rsid w:val="00AB1E91"/>
    <w:rsid w:val="00AB3C67"/>
    <w:rsid w:val="00AB4091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17F6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5F4D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87BA4"/>
    <w:rsid w:val="00B923E0"/>
    <w:rsid w:val="00BA1F99"/>
    <w:rsid w:val="00BA4BDF"/>
    <w:rsid w:val="00BB0725"/>
    <w:rsid w:val="00BB3C52"/>
    <w:rsid w:val="00BB3D55"/>
    <w:rsid w:val="00BB7450"/>
    <w:rsid w:val="00BB7E64"/>
    <w:rsid w:val="00BC041A"/>
    <w:rsid w:val="00BC411C"/>
    <w:rsid w:val="00BC631E"/>
    <w:rsid w:val="00BD0963"/>
    <w:rsid w:val="00BD3AEF"/>
    <w:rsid w:val="00BD51CF"/>
    <w:rsid w:val="00BE0973"/>
    <w:rsid w:val="00BE56D6"/>
    <w:rsid w:val="00BF26CA"/>
    <w:rsid w:val="00BF2A0F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24FEE"/>
    <w:rsid w:val="00C30859"/>
    <w:rsid w:val="00C31874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09B2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40408"/>
    <w:rsid w:val="00D46EAA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109"/>
    <w:rsid w:val="00DB136F"/>
    <w:rsid w:val="00DC1F2D"/>
    <w:rsid w:val="00DC36EA"/>
    <w:rsid w:val="00DC3BE9"/>
    <w:rsid w:val="00DC47E5"/>
    <w:rsid w:val="00DC7945"/>
    <w:rsid w:val="00DC7E2E"/>
    <w:rsid w:val="00DD1773"/>
    <w:rsid w:val="00DD243E"/>
    <w:rsid w:val="00DD4DE3"/>
    <w:rsid w:val="00DD5252"/>
    <w:rsid w:val="00DD5609"/>
    <w:rsid w:val="00DD7D43"/>
    <w:rsid w:val="00DE17F1"/>
    <w:rsid w:val="00DE3936"/>
    <w:rsid w:val="00DE67DE"/>
    <w:rsid w:val="00DE6F78"/>
    <w:rsid w:val="00DF15CD"/>
    <w:rsid w:val="00DF2209"/>
    <w:rsid w:val="00DF3D9A"/>
    <w:rsid w:val="00E0525B"/>
    <w:rsid w:val="00E0668A"/>
    <w:rsid w:val="00E07F74"/>
    <w:rsid w:val="00E10EC5"/>
    <w:rsid w:val="00E122AB"/>
    <w:rsid w:val="00E1320A"/>
    <w:rsid w:val="00E14875"/>
    <w:rsid w:val="00E14B1B"/>
    <w:rsid w:val="00E1511F"/>
    <w:rsid w:val="00E16A00"/>
    <w:rsid w:val="00E3083F"/>
    <w:rsid w:val="00E35BA4"/>
    <w:rsid w:val="00E37445"/>
    <w:rsid w:val="00E376B7"/>
    <w:rsid w:val="00E43F38"/>
    <w:rsid w:val="00E44965"/>
    <w:rsid w:val="00E464ED"/>
    <w:rsid w:val="00E47F49"/>
    <w:rsid w:val="00E51881"/>
    <w:rsid w:val="00E606D8"/>
    <w:rsid w:val="00E616F4"/>
    <w:rsid w:val="00E70AC9"/>
    <w:rsid w:val="00E727AB"/>
    <w:rsid w:val="00E8001D"/>
    <w:rsid w:val="00E80592"/>
    <w:rsid w:val="00E807A6"/>
    <w:rsid w:val="00E80D78"/>
    <w:rsid w:val="00E851DE"/>
    <w:rsid w:val="00E87F27"/>
    <w:rsid w:val="00E922E6"/>
    <w:rsid w:val="00E92E31"/>
    <w:rsid w:val="00E9348C"/>
    <w:rsid w:val="00EA286F"/>
    <w:rsid w:val="00EA6041"/>
    <w:rsid w:val="00EA6B5A"/>
    <w:rsid w:val="00EC2CBB"/>
    <w:rsid w:val="00EC3092"/>
    <w:rsid w:val="00EC3593"/>
    <w:rsid w:val="00EC388A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23E1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533A"/>
    <w:rsid w:val="00F66811"/>
    <w:rsid w:val="00F70C22"/>
    <w:rsid w:val="00F751AE"/>
    <w:rsid w:val="00F7560E"/>
    <w:rsid w:val="00F818E4"/>
    <w:rsid w:val="00F85522"/>
    <w:rsid w:val="00F87FCD"/>
    <w:rsid w:val="00F93594"/>
    <w:rsid w:val="00F9418B"/>
    <w:rsid w:val="00F9563A"/>
    <w:rsid w:val="00F96BE2"/>
    <w:rsid w:val="00FA1BEF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6BEF"/>
    <w:rsid w:val="00FC7667"/>
    <w:rsid w:val="00FE39B6"/>
    <w:rsid w:val="00FE3D1E"/>
    <w:rsid w:val="00FE4175"/>
    <w:rsid w:val="00FE4CA0"/>
    <w:rsid w:val="00FE5B05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7"/>
    <o:shapelayout v:ext="edit">
      <o:idmap v:ext="edit" data="1"/>
    </o:shapelayout>
  </w:shapeDefaults>
  <w:decimalSymbol w:val=","/>
  <w:listSeparator w:val=";"/>
  <w14:docId w14:val="636A119E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7E14EB"/>
    <w:pPr>
      <w:widowControl w:val="0"/>
      <w:autoSpaceDE w:val="0"/>
      <w:autoSpaceDN w:val="0"/>
      <w:spacing w:line="240" w:lineRule="auto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E14EB"/>
    <w:pPr>
      <w:widowControl w:val="0"/>
      <w:autoSpaceDE w:val="0"/>
      <w:autoSpaceDN w:val="0"/>
      <w:spacing w:before="34" w:line="240" w:lineRule="auto"/>
      <w:jc w:val="center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97FA1-3450-489C-A743-2B3B83992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7989</TotalTime>
  <Pages>2</Pages>
  <Words>587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66</cp:revision>
  <cp:lastPrinted>2020-08-19T19:21:00Z</cp:lastPrinted>
  <dcterms:created xsi:type="dcterms:W3CDTF">2017-08-11T10:28:00Z</dcterms:created>
  <dcterms:modified xsi:type="dcterms:W3CDTF">2020-11-24T17:33:00Z</dcterms:modified>
</cp:coreProperties>
</file>