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1E3528" w14:textId="77777777" w:rsidR="00DA73B3" w:rsidRDefault="00DA73B3" w:rsidP="00D67CB1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Arial Black"/>
          <w:b/>
          <w:bCs/>
        </w:rPr>
      </w:pPr>
    </w:p>
    <w:p w14:paraId="7EE9E90A" w14:textId="77777777" w:rsidR="00D67CB1" w:rsidRPr="00D67CB1" w:rsidRDefault="00D67CB1" w:rsidP="00D67CB1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14:paraId="6E9E1699" w14:textId="77777777" w:rsidR="00D67CB1" w:rsidRDefault="00D67CB1" w:rsidP="00D67CB1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14:paraId="41D5DB9A" w14:textId="77777777" w:rsidR="001D67ED" w:rsidRDefault="001D67ED" w:rsidP="00D67CB1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Arial Black"/>
          <w:b/>
          <w:bCs/>
        </w:rPr>
      </w:pPr>
    </w:p>
    <w:p w14:paraId="44566BB3" w14:textId="77777777" w:rsidR="00AE3A7F" w:rsidRDefault="00AE3A7F" w:rsidP="00D67CB1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Arial Black"/>
          <w:b/>
          <w:bCs/>
        </w:rPr>
      </w:pPr>
    </w:p>
    <w:p w14:paraId="426E9A2E" w14:textId="2C758741" w:rsidR="00D1728E" w:rsidRPr="00746000" w:rsidRDefault="001D67ED" w:rsidP="00896CD3">
      <w:pPr>
        <w:tabs>
          <w:tab w:val="left" w:pos="8364"/>
        </w:tabs>
        <w:autoSpaceDE w:val="0"/>
        <w:autoSpaceDN w:val="0"/>
        <w:adjustRightInd w:val="0"/>
        <w:spacing w:after="0"/>
        <w:jc w:val="both"/>
        <w:rPr>
          <w:rFonts w:ascii="Century Gothic" w:hAnsi="Century Gothic"/>
        </w:rPr>
      </w:pPr>
      <w:r w:rsidRPr="00896CD3">
        <w:rPr>
          <w:rFonts w:ascii="Century Gothic" w:hAnsi="Century Gothic" w:cs="Arial"/>
          <w:b/>
        </w:rPr>
        <w:t xml:space="preserve">Ata n° </w:t>
      </w:r>
      <w:r w:rsidR="00DF70D3">
        <w:rPr>
          <w:rFonts w:ascii="Century Gothic" w:hAnsi="Century Gothic" w:cs="Arial"/>
          <w:b/>
        </w:rPr>
        <w:t>98º 2020</w:t>
      </w:r>
      <w:r w:rsidRPr="00896CD3">
        <w:rPr>
          <w:rFonts w:ascii="Century Gothic" w:hAnsi="Century Gothic" w:cs="Arial"/>
        </w:rPr>
        <w:t xml:space="preserve"> - </w:t>
      </w:r>
      <w:r w:rsidRPr="00896CD3">
        <w:rPr>
          <w:rFonts w:ascii="Century Gothic" w:hAnsi="Century Gothic" w:cs="Arial"/>
          <w:color w:val="000000" w:themeColor="text1"/>
        </w:rPr>
        <w:t xml:space="preserve">Aos </w:t>
      </w:r>
      <w:r w:rsidR="00DF70D3">
        <w:rPr>
          <w:rFonts w:ascii="Century Gothic" w:hAnsi="Century Gothic" w:cs="Arial"/>
        </w:rPr>
        <w:t>24</w:t>
      </w:r>
      <w:r w:rsidR="00DF6285" w:rsidRPr="00896CD3">
        <w:rPr>
          <w:rFonts w:ascii="Century Gothic" w:hAnsi="Century Gothic" w:cs="Arial"/>
        </w:rPr>
        <w:t xml:space="preserve"> </w:t>
      </w:r>
      <w:r w:rsidRPr="00896CD3">
        <w:rPr>
          <w:rFonts w:ascii="Century Gothic" w:hAnsi="Century Gothic" w:cs="Arial"/>
          <w:color w:val="000000" w:themeColor="text1"/>
        </w:rPr>
        <w:t xml:space="preserve">dias do mês de </w:t>
      </w:r>
      <w:r w:rsidR="00BD5D7C">
        <w:rPr>
          <w:rFonts w:ascii="Century Gothic" w:hAnsi="Century Gothic" w:cs="Arial"/>
          <w:color w:val="000000" w:themeColor="text1"/>
        </w:rPr>
        <w:t>novembro</w:t>
      </w:r>
      <w:r w:rsidRPr="00896CD3">
        <w:rPr>
          <w:rFonts w:ascii="Century Gothic" w:hAnsi="Century Gothic" w:cs="Arial"/>
          <w:color w:val="000000" w:themeColor="text1"/>
        </w:rPr>
        <w:t xml:space="preserve"> do ano de </w:t>
      </w:r>
      <w:r w:rsidR="00DF70D3">
        <w:rPr>
          <w:rFonts w:ascii="Century Gothic" w:hAnsi="Century Gothic" w:cs="Arial"/>
          <w:color w:val="000000" w:themeColor="text1"/>
        </w:rPr>
        <w:t>2020</w:t>
      </w:r>
      <w:r w:rsidRPr="00896CD3">
        <w:rPr>
          <w:rFonts w:ascii="Century Gothic" w:hAnsi="Century Gothic" w:cs="Arial"/>
          <w:color w:val="000000" w:themeColor="text1"/>
        </w:rPr>
        <w:t xml:space="preserve">, às </w:t>
      </w:r>
      <w:r w:rsidR="00DF70D3">
        <w:rPr>
          <w:rFonts w:ascii="Century Gothic" w:hAnsi="Century Gothic" w:cs="Arial"/>
          <w:color w:val="000000" w:themeColor="text1"/>
        </w:rPr>
        <w:t>10:45</w:t>
      </w:r>
      <w:r w:rsidRPr="00896CD3">
        <w:rPr>
          <w:rFonts w:ascii="Century Gothic" w:hAnsi="Century Gothic" w:cs="Arial"/>
          <w:color w:val="000000" w:themeColor="text1"/>
        </w:rPr>
        <w:t>hs, na sede do VOTUPREV, reuniram-se os membros do comitê de investimentos</w:t>
      </w:r>
      <w:r w:rsidR="00DC3F11" w:rsidRPr="00896CD3">
        <w:rPr>
          <w:rFonts w:ascii="Century Gothic" w:hAnsi="Century Gothic" w:cs="Arial"/>
          <w:color w:val="000000" w:themeColor="text1"/>
        </w:rPr>
        <w:t xml:space="preserve"> e</w:t>
      </w:r>
      <w:r w:rsidR="00D1728E" w:rsidRPr="00896CD3">
        <w:rPr>
          <w:rFonts w:ascii="Century Gothic" w:hAnsi="Century Gothic" w:cs="Arial"/>
          <w:color w:val="000000"/>
        </w:rPr>
        <w:t xml:space="preserve">m cumprimento ao disposto no art. 4º da </w:t>
      </w:r>
      <w:r w:rsidR="00D1728E" w:rsidRPr="00896CD3">
        <w:rPr>
          <w:rFonts w:ascii="Century Gothic" w:hAnsi="Century Gothic" w:cs="Arial"/>
          <w:bCs/>
          <w:color w:val="000000"/>
        </w:rPr>
        <w:t xml:space="preserve">Resolução CMN n° 3.922, de 25 de novembro de 2010, c/c com o art. </w:t>
      </w:r>
      <w:r w:rsidR="00D1728E" w:rsidRPr="00896CD3">
        <w:rPr>
          <w:rFonts w:ascii="Century Gothic" w:hAnsi="Century Gothic" w:cs="Arial"/>
          <w:color w:val="000000"/>
        </w:rPr>
        <w:t>1º da Portaria MPS</w:t>
      </w:r>
      <w:r w:rsidR="006565BC">
        <w:rPr>
          <w:rFonts w:ascii="Century Gothic" w:hAnsi="Century Gothic" w:cs="Arial"/>
          <w:color w:val="000000"/>
        </w:rPr>
        <w:t xml:space="preserve"> nº 519, de 24 de agosto de 201</w:t>
      </w:r>
      <w:r w:rsidR="00DF70D3">
        <w:rPr>
          <w:rFonts w:ascii="Century Gothic" w:hAnsi="Century Gothic" w:cs="Arial"/>
          <w:color w:val="000000"/>
        </w:rPr>
        <w:t>1</w:t>
      </w:r>
      <w:r w:rsidR="00D1728E" w:rsidRPr="00896CD3">
        <w:rPr>
          <w:rFonts w:ascii="Century Gothic" w:hAnsi="Century Gothic" w:cs="Arial"/>
          <w:color w:val="000000"/>
        </w:rPr>
        <w:t>,</w:t>
      </w:r>
      <w:bookmarkStart w:id="0" w:name="_Hlk496520825"/>
      <w:r w:rsidR="006565BC">
        <w:rPr>
          <w:rFonts w:ascii="Century Gothic" w:hAnsi="Century Gothic" w:cs="Arial"/>
          <w:color w:val="000000"/>
        </w:rPr>
        <w:t xml:space="preserve"> </w:t>
      </w:r>
      <w:r w:rsidR="00D1728E" w:rsidRPr="00896CD3">
        <w:rPr>
          <w:rFonts w:ascii="Century Gothic" w:hAnsi="Century Gothic" w:cs="Arial"/>
          <w:color w:val="000000"/>
        </w:rPr>
        <w:t xml:space="preserve">e em consonância </w:t>
      </w:r>
      <w:r w:rsidR="00D1728E" w:rsidRPr="00896CD3">
        <w:rPr>
          <w:rFonts w:ascii="Century Gothic" w:hAnsi="Century Gothic" w:cs="Arial"/>
          <w:bCs/>
          <w:color w:val="000000"/>
        </w:rPr>
        <w:t>com na</w:t>
      </w:r>
      <w:r w:rsidR="00746000">
        <w:rPr>
          <w:rFonts w:ascii="Century Gothic" w:hAnsi="Century Gothic" w:cs="Arial"/>
          <w:bCs/>
          <w:color w:val="000000"/>
        </w:rPr>
        <w:t xml:space="preserve"> </w:t>
      </w:r>
      <w:r w:rsidR="00D1728E" w:rsidRPr="00896CD3">
        <w:rPr>
          <w:rFonts w:ascii="Century Gothic" w:hAnsi="Century Gothic" w:cs="Courier New"/>
        </w:rPr>
        <w:t xml:space="preserve">Resolução CVM </w:t>
      </w:r>
      <w:r w:rsidR="00D1728E" w:rsidRPr="00896CD3">
        <w:rPr>
          <w:rFonts w:ascii="Century Gothic" w:eastAsiaTheme="minorHAnsi" w:hAnsi="Century Gothic" w:cs="Courier New"/>
        </w:rPr>
        <w:t>Nº 4.604</w:t>
      </w:r>
      <w:r w:rsidR="00D1728E" w:rsidRPr="00896CD3">
        <w:rPr>
          <w:rFonts w:ascii="Century Gothic" w:hAnsi="Century Gothic" w:cs="Courier New"/>
        </w:rPr>
        <w:t>/</w:t>
      </w:r>
      <w:r w:rsidR="00D1728E" w:rsidRPr="00896CD3">
        <w:rPr>
          <w:rFonts w:ascii="Century Gothic" w:eastAsiaTheme="minorHAnsi" w:hAnsi="Century Gothic" w:cs="Courier New"/>
        </w:rPr>
        <w:t>2017</w:t>
      </w:r>
      <w:r w:rsidR="00874054" w:rsidRPr="00896CD3">
        <w:rPr>
          <w:rFonts w:ascii="Century Gothic" w:eastAsiaTheme="minorHAnsi" w:hAnsi="Century Gothic" w:cs="Courier New"/>
        </w:rPr>
        <w:t xml:space="preserve">, para elaboração </w:t>
      </w:r>
      <w:r w:rsidR="00874054" w:rsidRPr="00896CD3">
        <w:rPr>
          <w:rFonts w:ascii="Century Gothic" w:hAnsi="Century Gothic"/>
          <w:b/>
          <w:color w:val="000000" w:themeColor="text1"/>
        </w:rPr>
        <w:t xml:space="preserve">da </w:t>
      </w:r>
      <w:r w:rsidR="00DF70D3" w:rsidRPr="00896CD3">
        <w:rPr>
          <w:rFonts w:ascii="Century Gothic" w:hAnsi="Century Gothic"/>
          <w:b/>
          <w:color w:val="000000" w:themeColor="text1"/>
        </w:rPr>
        <w:t xml:space="preserve">POLÍTICA DE INVESTIMENTOS </w:t>
      </w:r>
      <w:r w:rsidR="00874054" w:rsidRPr="00896CD3">
        <w:rPr>
          <w:rFonts w:ascii="Century Gothic" w:eastAsiaTheme="minorHAnsi" w:hAnsi="Century Gothic" w:cs="Courier New"/>
        </w:rPr>
        <w:t>d</w:t>
      </w:r>
      <w:r w:rsidR="00D1728E" w:rsidRPr="00896CD3">
        <w:rPr>
          <w:rFonts w:ascii="Century Gothic" w:hAnsi="Century Gothic" w:cs="Arial"/>
          <w:color w:val="000000"/>
        </w:rPr>
        <w:t xml:space="preserve">o </w:t>
      </w:r>
      <w:bookmarkStart w:id="1" w:name="_Hlk495480002"/>
      <w:r w:rsidR="00D1728E" w:rsidRPr="00896CD3">
        <w:rPr>
          <w:rFonts w:ascii="Century Gothic" w:hAnsi="Century Gothic" w:cs="Arial"/>
          <w:b/>
          <w:color w:val="000000" w:themeColor="text1"/>
          <w:lang w:eastAsia="pt-BR"/>
        </w:rPr>
        <w:t>INSTITUTO DE PREVIDENCIA DO MUNICIPIO DE VOTUPORANGA</w:t>
      </w:r>
      <w:bookmarkEnd w:id="1"/>
      <w:r w:rsidR="00746000">
        <w:rPr>
          <w:rFonts w:ascii="Century Gothic" w:hAnsi="Century Gothic" w:cs="Arial"/>
          <w:b/>
          <w:color w:val="000000" w:themeColor="text1"/>
          <w:lang w:eastAsia="pt-BR"/>
        </w:rPr>
        <w:t xml:space="preserve"> para o ano de 202</w:t>
      </w:r>
      <w:r w:rsidR="00DF70D3">
        <w:rPr>
          <w:rFonts w:ascii="Century Gothic" w:hAnsi="Century Gothic" w:cs="Arial"/>
          <w:b/>
          <w:color w:val="000000" w:themeColor="text1"/>
          <w:lang w:eastAsia="pt-BR"/>
        </w:rPr>
        <w:t>1</w:t>
      </w:r>
      <w:r w:rsidR="00874054" w:rsidRPr="00896CD3">
        <w:rPr>
          <w:rFonts w:ascii="Century Gothic" w:hAnsi="Century Gothic" w:cs="Arial"/>
          <w:b/>
          <w:color w:val="000000" w:themeColor="text1"/>
          <w:lang w:eastAsia="pt-BR"/>
        </w:rPr>
        <w:t>.</w:t>
      </w:r>
      <w:bookmarkEnd w:id="0"/>
      <w:r w:rsidR="00746000">
        <w:rPr>
          <w:rFonts w:ascii="Century Gothic" w:hAnsi="Century Gothic" w:cs="Arial"/>
          <w:b/>
          <w:color w:val="000000" w:themeColor="text1"/>
          <w:lang w:eastAsia="pt-BR"/>
        </w:rPr>
        <w:t xml:space="preserve"> </w:t>
      </w:r>
    </w:p>
    <w:p w14:paraId="281D9C9F" w14:textId="303AFA12" w:rsidR="00D1728E" w:rsidRPr="00896CD3" w:rsidRDefault="00D1728E" w:rsidP="00896CD3">
      <w:pPr>
        <w:pStyle w:val="Standard"/>
        <w:spacing w:before="60" w:after="0" w:line="276" w:lineRule="auto"/>
        <w:ind w:firstLine="0"/>
        <w:rPr>
          <w:rFonts w:ascii="Century Gothic" w:hAnsi="Century Gothic"/>
          <w:sz w:val="22"/>
          <w:szCs w:val="22"/>
          <w:lang w:val="pt-BR"/>
        </w:rPr>
      </w:pPr>
      <w:r w:rsidRPr="00896CD3">
        <w:rPr>
          <w:rFonts w:ascii="Century Gothic" w:hAnsi="Century Gothic" w:cs="Arial"/>
          <w:sz w:val="22"/>
          <w:szCs w:val="22"/>
          <w:lang w:val="pt-BR"/>
        </w:rPr>
        <w:t xml:space="preserve">Os investimentos </w:t>
      </w:r>
      <w:r w:rsidR="00DF6285" w:rsidRPr="00896CD3">
        <w:rPr>
          <w:rFonts w:ascii="Century Gothic" w:hAnsi="Century Gothic" w:cs="Arial"/>
          <w:sz w:val="22"/>
          <w:szCs w:val="22"/>
          <w:lang w:val="pt-BR"/>
        </w:rPr>
        <w:t xml:space="preserve">em </w:t>
      </w:r>
      <w:r w:rsidR="00BD5D7C">
        <w:rPr>
          <w:rFonts w:ascii="Century Gothic" w:hAnsi="Century Gothic" w:cs="Arial"/>
          <w:sz w:val="22"/>
          <w:szCs w:val="22"/>
          <w:lang w:val="pt-BR"/>
        </w:rPr>
        <w:t>202</w:t>
      </w:r>
      <w:r w:rsidR="00DF70D3">
        <w:rPr>
          <w:rFonts w:ascii="Century Gothic" w:hAnsi="Century Gothic" w:cs="Arial"/>
          <w:sz w:val="22"/>
          <w:szCs w:val="22"/>
          <w:lang w:val="pt-BR"/>
        </w:rPr>
        <w:t>1</w:t>
      </w:r>
      <w:r w:rsidR="00874054" w:rsidRPr="00896CD3">
        <w:rPr>
          <w:rFonts w:ascii="Century Gothic" w:hAnsi="Century Gothic" w:cs="Arial"/>
          <w:sz w:val="22"/>
          <w:szCs w:val="22"/>
          <w:lang w:val="pt-BR"/>
        </w:rPr>
        <w:t xml:space="preserve"> </w:t>
      </w:r>
      <w:r w:rsidRPr="00896CD3">
        <w:rPr>
          <w:rFonts w:ascii="Century Gothic" w:hAnsi="Century Gothic" w:cs="Arial"/>
          <w:sz w:val="22"/>
          <w:szCs w:val="22"/>
          <w:lang w:val="pt-BR"/>
        </w:rPr>
        <w:t xml:space="preserve">obedecerão às diretrizes e princípios contidos nesta Política de Investimentos, estabelecida em consonância com os dispositivos da legislação específica em </w:t>
      </w:r>
      <w:r w:rsidRPr="00896CD3">
        <w:rPr>
          <w:rFonts w:ascii="Century Gothic" w:hAnsi="Century Gothic" w:cs="Arial"/>
          <w:color w:val="000000" w:themeColor="text1"/>
          <w:sz w:val="22"/>
          <w:szCs w:val="22"/>
          <w:lang w:val="pt-BR"/>
        </w:rPr>
        <w:t>vigor</w:t>
      </w:r>
      <w:r w:rsidR="00874054" w:rsidRPr="00896CD3">
        <w:rPr>
          <w:rFonts w:ascii="Century Gothic" w:hAnsi="Century Gothic" w:cs="Arial"/>
          <w:color w:val="000000" w:themeColor="text1"/>
          <w:sz w:val="22"/>
          <w:szCs w:val="22"/>
          <w:lang w:val="pt-BR"/>
        </w:rPr>
        <w:t>.</w:t>
      </w:r>
    </w:p>
    <w:p w14:paraId="2D2E9390" w14:textId="77777777" w:rsidR="00DF70D3" w:rsidRDefault="00D1728E" w:rsidP="00896CD3">
      <w:pPr>
        <w:pStyle w:val="Cabealho"/>
        <w:spacing w:before="60" w:line="276" w:lineRule="auto"/>
        <w:jc w:val="both"/>
        <w:rPr>
          <w:rFonts w:ascii="Century Gothic" w:hAnsi="Century Gothic" w:cs="Arial"/>
        </w:rPr>
      </w:pPr>
      <w:r w:rsidRPr="00896CD3">
        <w:rPr>
          <w:rFonts w:ascii="Century Gothic" w:hAnsi="Century Gothic" w:cs="Arial"/>
        </w:rPr>
        <w:t xml:space="preserve">A construção da Política de Investimento atende à formalidade legal que direciona todo o processo de tomada de decisões, gerenciamento e acompanhamento </w:t>
      </w:r>
      <w:r w:rsidR="00874054" w:rsidRPr="00896CD3">
        <w:rPr>
          <w:rFonts w:ascii="Century Gothic" w:hAnsi="Century Gothic" w:cs="Arial"/>
        </w:rPr>
        <w:t>d</w:t>
      </w:r>
      <w:r w:rsidRPr="00896CD3">
        <w:rPr>
          <w:rFonts w:ascii="Century Gothic" w:hAnsi="Century Gothic" w:cs="Arial"/>
        </w:rPr>
        <w:t>os recursos previdenciários a fim de garantir a manutenção do equilíbrio econômico-financeiro e atuarial entre seus ativos e passivos.</w:t>
      </w:r>
      <w:r w:rsidR="00874054" w:rsidRPr="00896CD3">
        <w:rPr>
          <w:rFonts w:ascii="Century Gothic" w:hAnsi="Century Gothic" w:cs="Arial"/>
        </w:rPr>
        <w:t xml:space="preserve"> </w:t>
      </w:r>
    </w:p>
    <w:p w14:paraId="130E454C" w14:textId="61985CD7" w:rsidR="00896CD3" w:rsidRDefault="00874054" w:rsidP="00896CD3">
      <w:pPr>
        <w:pStyle w:val="Cabealho"/>
        <w:spacing w:before="60" w:line="276" w:lineRule="auto"/>
        <w:jc w:val="both"/>
        <w:rPr>
          <w:rFonts w:ascii="Century Gothic" w:hAnsi="Century Gothic" w:cs="Arial"/>
          <w:b/>
          <w:color w:val="000000" w:themeColor="text1"/>
        </w:rPr>
      </w:pPr>
      <w:r w:rsidRPr="00896CD3">
        <w:rPr>
          <w:rFonts w:ascii="Century Gothic" w:hAnsi="Century Gothic" w:cs="Arial"/>
        </w:rPr>
        <w:t xml:space="preserve">Após diversas análises de cenários, chegamos a seguinte </w:t>
      </w:r>
      <w:r w:rsidRPr="00896CD3">
        <w:rPr>
          <w:rFonts w:ascii="Century Gothic" w:hAnsi="Century Gothic" w:cs="Arial"/>
          <w:b/>
          <w:color w:val="000000" w:themeColor="text1"/>
        </w:rPr>
        <w:t>Política</w:t>
      </w:r>
      <w:r w:rsidR="009827B3" w:rsidRPr="00896CD3">
        <w:rPr>
          <w:rFonts w:ascii="Century Gothic" w:hAnsi="Century Gothic" w:cs="Arial"/>
          <w:b/>
          <w:color w:val="000000" w:themeColor="text1"/>
        </w:rPr>
        <w:t xml:space="preserve"> de investimentos para 20</w:t>
      </w:r>
      <w:bookmarkStart w:id="2" w:name="_Toc342555923"/>
      <w:bookmarkStart w:id="3" w:name="_Toc342923161"/>
      <w:r w:rsidR="00BD5D7C">
        <w:rPr>
          <w:rFonts w:ascii="Century Gothic" w:hAnsi="Century Gothic" w:cs="Arial"/>
          <w:b/>
          <w:color w:val="000000" w:themeColor="text1"/>
        </w:rPr>
        <w:t>20</w:t>
      </w:r>
      <w:r w:rsidR="00896CD3">
        <w:rPr>
          <w:rFonts w:ascii="Century Gothic" w:hAnsi="Century Gothic" w:cs="Arial"/>
          <w:b/>
          <w:color w:val="000000" w:themeColor="text1"/>
        </w:rPr>
        <w:t>.</w:t>
      </w:r>
    </w:p>
    <w:p w14:paraId="25853DAB" w14:textId="77777777" w:rsidR="00BD5D7C" w:rsidRDefault="00D1728E" w:rsidP="00896CD3">
      <w:pPr>
        <w:pStyle w:val="Cabealho"/>
        <w:spacing w:before="60" w:line="276" w:lineRule="auto"/>
        <w:jc w:val="both"/>
        <w:rPr>
          <w:rFonts w:ascii="Century Gothic" w:eastAsiaTheme="majorEastAsia" w:hAnsi="Century Gothic" w:cstheme="majorBidi"/>
          <w:b/>
        </w:rPr>
      </w:pPr>
      <w:r w:rsidRPr="00D1728E">
        <w:rPr>
          <w:rFonts w:ascii="Century Gothic" w:eastAsiaTheme="majorEastAsia" w:hAnsi="Century Gothic" w:cstheme="majorBidi"/>
          <w:b/>
        </w:rPr>
        <w:t>Faixas de Alocação: Segmento</w:t>
      </w:r>
      <w:bookmarkEnd w:id="2"/>
      <w:r w:rsidRPr="00D1728E">
        <w:rPr>
          <w:rFonts w:ascii="Century Gothic" w:eastAsiaTheme="majorEastAsia" w:hAnsi="Century Gothic" w:cstheme="majorBidi"/>
          <w:b/>
        </w:rPr>
        <w:t xml:space="preserve"> Renda Fixa</w:t>
      </w:r>
      <w:bookmarkEnd w:id="3"/>
      <w:r w:rsidRPr="00D1728E">
        <w:rPr>
          <w:rFonts w:ascii="Century Gothic" w:eastAsiaTheme="majorEastAsia" w:hAnsi="Century Gothic" w:cstheme="majorBidi"/>
          <w:b/>
        </w:rPr>
        <w:t>/Variável</w:t>
      </w:r>
    </w:p>
    <w:p w14:paraId="039B806C" w14:textId="77777777" w:rsidR="00BD5D7C" w:rsidRDefault="00BD5D7C" w:rsidP="00896CD3">
      <w:pPr>
        <w:pStyle w:val="Cabealho"/>
        <w:spacing w:before="60" w:line="276" w:lineRule="auto"/>
        <w:jc w:val="both"/>
        <w:rPr>
          <w:rFonts w:ascii="Century Gothic" w:eastAsiaTheme="majorEastAsia" w:hAnsi="Century Gothic" w:cstheme="majorBidi"/>
          <w:b/>
        </w:rPr>
      </w:pPr>
    </w:p>
    <w:p w14:paraId="3926692D" w14:textId="1D633410" w:rsidR="00DF70D3" w:rsidRPr="00B75C32" w:rsidRDefault="00DF70D3" w:rsidP="00B75C32">
      <w:pPr>
        <w:spacing w:after="0"/>
        <w:ind w:left="142" w:firstLine="425"/>
        <w:jc w:val="both"/>
        <w:rPr>
          <w:rFonts w:ascii="Century Gothic" w:hAnsi="Century Gothic" w:cs="Calibri"/>
        </w:rPr>
      </w:pPr>
      <w:r w:rsidRPr="00B75C32">
        <w:rPr>
          <w:rFonts w:ascii="Century Gothic" w:hAnsi="Century Gothic" w:cs="Calibri"/>
        </w:rPr>
        <w:t xml:space="preserve">A alocação </w:t>
      </w:r>
      <w:r w:rsidR="00B75C32">
        <w:rPr>
          <w:rFonts w:ascii="Century Gothic" w:hAnsi="Century Gothic" w:cs="Calibri"/>
        </w:rPr>
        <w:t xml:space="preserve">e </w:t>
      </w:r>
      <w:r w:rsidRPr="00B75C32">
        <w:rPr>
          <w:rFonts w:ascii="Century Gothic" w:hAnsi="Century Gothic" w:cs="Calibri"/>
        </w:rPr>
        <w:t xml:space="preserve">objetivo foi definida considerando o cenário macroeconômico e as expectativas de mercado vigentes quando da elaboração deste documento, </w:t>
      </w:r>
    </w:p>
    <w:tbl>
      <w:tblPr>
        <w:tblW w:w="9356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1276"/>
        <w:gridCol w:w="992"/>
        <w:gridCol w:w="966"/>
        <w:gridCol w:w="920"/>
        <w:gridCol w:w="1658"/>
      </w:tblGrid>
      <w:tr w:rsidR="00DF70D3" w:rsidRPr="00026772" w14:paraId="793236A1" w14:textId="77777777" w:rsidTr="00B75C32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119DA836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026772">
              <w:rPr>
                <w:rFonts w:eastAsia="Times New Roman" w:cs="Calibri"/>
                <w:b/>
                <w:bCs/>
                <w:lang w:eastAsia="pt-BR"/>
              </w:rPr>
              <w:t>Tipo de Ativo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684AD052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026772">
              <w:rPr>
                <w:rFonts w:eastAsia="Times New Roman" w:cs="Calibri"/>
                <w:b/>
                <w:bCs/>
                <w:lang w:eastAsia="pt-BR"/>
              </w:rPr>
              <w:t>Limite Legislação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1926B62E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026772">
              <w:rPr>
                <w:rFonts w:eastAsia="Times New Roman" w:cs="Calibri"/>
                <w:b/>
                <w:bCs/>
                <w:lang w:eastAsia="pt-BR"/>
              </w:rPr>
              <w:t>Limite Inferior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D27B4C2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026772">
              <w:rPr>
                <w:rFonts w:eastAsia="Times New Roman" w:cs="Calibri"/>
                <w:b/>
                <w:bCs/>
                <w:lang w:eastAsia="pt-BR"/>
              </w:rPr>
              <w:t>Alocação Objetivo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74E8390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026772">
              <w:rPr>
                <w:rFonts w:eastAsia="Times New Roman" w:cs="Calibri"/>
                <w:b/>
                <w:bCs/>
                <w:lang w:eastAsia="pt-BR"/>
              </w:rPr>
              <w:t>Limite Superior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1A1A2CB7" w14:textId="77777777" w:rsidR="00DF70D3" w:rsidRPr="00026772" w:rsidRDefault="00DF70D3" w:rsidP="00BA0CBA">
            <w:pPr>
              <w:spacing w:after="0" w:line="240" w:lineRule="auto"/>
              <w:jc w:val="both"/>
              <w:rPr>
                <w:rFonts w:eastAsia="Times New Roman" w:cs="Calibri"/>
                <w:b/>
                <w:bCs/>
                <w:lang w:eastAsia="pt-BR"/>
              </w:rPr>
            </w:pPr>
            <w:r w:rsidRPr="00026772">
              <w:rPr>
                <w:rFonts w:eastAsia="Times New Roman" w:cs="Calibri"/>
                <w:b/>
                <w:bCs/>
                <w:lang w:eastAsia="pt-BR"/>
              </w:rPr>
              <w:t>Enquadramento</w:t>
            </w:r>
          </w:p>
        </w:tc>
      </w:tr>
      <w:tr w:rsidR="00DF70D3" w:rsidRPr="00026772" w14:paraId="60A51C3C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6A9A3" w14:textId="77777777" w:rsidR="00DF70D3" w:rsidRPr="00026772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b/>
                <w:bCs/>
                <w:color w:val="000000"/>
                <w:lang w:eastAsia="pt-BR"/>
              </w:rPr>
              <w:t>Títulos Públicos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6A276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3774F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D50803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12DBC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100%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46C8D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I, "a"</w:t>
            </w:r>
          </w:p>
        </w:tc>
      </w:tr>
      <w:tr w:rsidR="00DF70D3" w:rsidRPr="00026772" w14:paraId="638FCF3F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93920C9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b/>
                <w:bCs/>
                <w:color w:val="000000"/>
                <w:lang w:eastAsia="pt-BR"/>
              </w:rPr>
              <w:t>Fundos 100% Títulos Públicos - RF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AB8394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1E3A652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57084A9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64 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89E1E4F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100%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4FDB184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I, "b"</w:t>
            </w:r>
          </w:p>
        </w:tc>
      </w:tr>
      <w:tr w:rsidR="00DF70D3" w:rsidRPr="00026772" w14:paraId="6728086E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E89DE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de Índice 100% TP - RF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BC54B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C9834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 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7C115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71355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100%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D490B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I, "c"</w:t>
            </w:r>
          </w:p>
        </w:tc>
      </w:tr>
      <w:tr w:rsidR="00DF70D3" w:rsidRPr="00026772" w14:paraId="6DA70958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5D85136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Operações Compromissadas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6B031A6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06D8D83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5DABD1F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39622A1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1BB688E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II</w:t>
            </w:r>
          </w:p>
        </w:tc>
      </w:tr>
      <w:tr w:rsidR="00DF70D3" w:rsidRPr="00026772" w14:paraId="74DE17BC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E552D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Renda Fixa Referenciados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B681E0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60%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1691B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A1F07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9530CD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60%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DF99F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III, "a"</w:t>
            </w:r>
          </w:p>
        </w:tc>
      </w:tr>
      <w:tr w:rsidR="00DF70D3" w:rsidRPr="00026772" w14:paraId="385BDB19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7417260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de Índice Renda Fixa RF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4CD6FB7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60%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843AB15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706F1D0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0778058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60%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3838A43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III, "b"</w:t>
            </w:r>
          </w:p>
        </w:tc>
      </w:tr>
      <w:tr w:rsidR="00DF70D3" w:rsidRPr="00026772" w14:paraId="3C325A44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10EBF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b/>
                <w:bCs/>
                <w:color w:val="000000"/>
                <w:lang w:eastAsia="pt-BR"/>
              </w:rPr>
              <w:t>Fundos de Renda Fixa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CF85DC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40%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F25E9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E1F14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15 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AB2E63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40%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F6A00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IV, "a"</w:t>
            </w:r>
          </w:p>
        </w:tc>
      </w:tr>
      <w:tr w:rsidR="00DF70D3" w:rsidRPr="00026772" w14:paraId="09EC2FDD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2BDBB7E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de Índice de Renda Fixa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3CEB3FA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40%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BDB6A8A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B931F8E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62E41E3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40%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7A256E3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IV, "b"</w:t>
            </w:r>
          </w:p>
        </w:tc>
      </w:tr>
      <w:tr w:rsidR="00DF70D3" w:rsidRPr="00026772" w14:paraId="717C9AE8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F4EC41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Letras Imobiliárias Garantidas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85195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20%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E7E0B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65FAF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1BECD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20%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018C9F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V, "b"</w:t>
            </w:r>
          </w:p>
        </w:tc>
      </w:tr>
      <w:tr w:rsidR="00DF70D3" w:rsidRPr="00026772" w14:paraId="006FB314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4FACBE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 xml:space="preserve">Cédula de Depósito Bancário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FA2D59C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15%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4E97A51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C065B8E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AF3203D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15%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C28B334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VI, "a"</w:t>
            </w:r>
          </w:p>
        </w:tc>
      </w:tr>
      <w:tr w:rsidR="00DF70D3" w:rsidRPr="00026772" w14:paraId="5BB8E2AA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5A9EE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Poupança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4FAFD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15%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DD6D97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1FDBD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02B3B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15%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F73BAB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VI, "b"</w:t>
            </w:r>
          </w:p>
        </w:tc>
      </w:tr>
      <w:tr w:rsidR="00DF70D3" w:rsidRPr="00026772" w14:paraId="2FDA760C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DC81E7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Cota Sênior de FIDC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705535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C81A760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4FECE89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E46549C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B289B4C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VII, "a"</w:t>
            </w:r>
          </w:p>
        </w:tc>
      </w:tr>
      <w:tr w:rsidR="00DF70D3" w:rsidRPr="00026772" w14:paraId="41F9F684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F701E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Renda Fixa "Crédito Privado"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D0CDB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3255E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D7212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DFE19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A9CBBD" w14:textId="77777777" w:rsidR="00DF70D3" w:rsidRPr="00026772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026772">
              <w:rPr>
                <w:rFonts w:eastAsia="Times New Roman" w:cs="Calibri"/>
                <w:color w:val="000000"/>
                <w:lang w:eastAsia="pt-BR"/>
              </w:rPr>
              <w:t>Art. 7º, VII, "b"</w:t>
            </w:r>
          </w:p>
        </w:tc>
      </w:tr>
      <w:tr w:rsidR="00DF70D3" w:rsidRPr="00026772" w14:paraId="3D1D4A9A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D72EC2A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 de Debêntures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CDAC24E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5CE2E8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979BD72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E6565C1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2FD5E74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7º, VII, "c"</w:t>
            </w:r>
          </w:p>
        </w:tc>
      </w:tr>
      <w:tr w:rsidR="00DF70D3" w:rsidRPr="00026772" w14:paraId="124155E2" w14:textId="77777777" w:rsidTr="00B75C32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C3D435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lang w:eastAsia="pt-BR"/>
              </w:rPr>
            </w:pPr>
            <w:r w:rsidRPr="003A6E69">
              <w:rPr>
                <w:rFonts w:eastAsia="Times New Roman" w:cs="Calibri"/>
                <w:b/>
                <w:bCs/>
                <w:lang w:eastAsia="pt-BR"/>
              </w:rPr>
              <w:lastRenderedPageBreak/>
              <w:t>Fundos de Ações Referenciados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0BC10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30%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B7E3C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96CE7E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3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C73A5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30%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D396F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8º, I, “a”</w:t>
            </w:r>
          </w:p>
        </w:tc>
      </w:tr>
      <w:tr w:rsidR="00DF70D3" w:rsidRPr="00026772" w14:paraId="6D8AE853" w14:textId="77777777" w:rsidTr="00B75C32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F886AA2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de Índices Referenciados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F6FB725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30%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BD1EEAA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FBDE300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2BA3869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30%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D1303F0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8º, I, “b”</w:t>
            </w:r>
          </w:p>
        </w:tc>
      </w:tr>
      <w:tr w:rsidR="00DF70D3" w:rsidRPr="00026772" w14:paraId="137A9890" w14:textId="77777777" w:rsidTr="00B75C32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FFA5B4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lang w:eastAsia="pt-BR"/>
              </w:rPr>
            </w:pPr>
            <w:r w:rsidRPr="003A6E69">
              <w:rPr>
                <w:rFonts w:eastAsia="Times New Roman" w:cs="Calibri"/>
                <w:b/>
                <w:bCs/>
                <w:lang w:eastAsia="pt-BR"/>
              </w:rPr>
              <w:t xml:space="preserve">Fundos de Ações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848D15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20%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253C4B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 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6BEAC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 05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D9384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20%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211049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8º, II, “a”</w:t>
            </w:r>
          </w:p>
        </w:tc>
      </w:tr>
      <w:tr w:rsidR="00DF70D3" w:rsidRPr="00026772" w14:paraId="292904E0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13B9032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de Índice de Ações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517BDBB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20%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AD69A88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5F326F3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C2A266B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20%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810D786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8º, II, “b”</w:t>
            </w:r>
          </w:p>
        </w:tc>
      </w:tr>
      <w:tr w:rsidR="00DF70D3" w:rsidRPr="00026772" w14:paraId="3AD12961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CCD02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lang w:eastAsia="pt-BR"/>
              </w:rPr>
            </w:pPr>
            <w:r w:rsidRPr="003A6E69">
              <w:rPr>
                <w:rFonts w:eastAsia="Times New Roman" w:cs="Calibri"/>
                <w:b/>
                <w:bCs/>
                <w:lang w:eastAsia="pt-BR"/>
              </w:rPr>
              <w:t>Fundos Multimercados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19213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DE69F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56E8E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EFCC0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33050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8º, III</w:t>
            </w:r>
          </w:p>
        </w:tc>
      </w:tr>
      <w:tr w:rsidR="00DF70D3" w:rsidRPr="00026772" w14:paraId="2E5C23BB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52D508C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de Participações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77CA53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C99A639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 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8AAAE8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BCB43B8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FF1E7F2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8º, IV, “a”</w:t>
            </w:r>
          </w:p>
        </w:tc>
      </w:tr>
      <w:tr w:rsidR="00DF70D3" w:rsidRPr="00026772" w14:paraId="60D060B5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3774E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lang w:eastAsia="pt-BR"/>
              </w:rPr>
            </w:pPr>
            <w:r w:rsidRPr="003A6E69">
              <w:rPr>
                <w:rFonts w:eastAsia="Times New Roman" w:cs="Calibri"/>
                <w:b/>
                <w:bCs/>
                <w:lang w:eastAsia="pt-BR"/>
              </w:rPr>
              <w:t>Fundos de Investimentos Imobiliários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94B1EC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A6241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18484E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 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AB95F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62D9B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8º, IV, “b”</w:t>
            </w:r>
          </w:p>
        </w:tc>
      </w:tr>
      <w:tr w:rsidR="00DF70D3" w:rsidRPr="00026772" w14:paraId="198DD14B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51AF1F2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>Fundos de Ações - Mercado de Acesso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5C0A3DC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A5B0BAF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 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1DC0D79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1FD86B6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5%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625F752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8º, IV, “c”</w:t>
            </w:r>
          </w:p>
        </w:tc>
      </w:tr>
      <w:tr w:rsidR="00DF70D3" w:rsidRPr="00026772" w14:paraId="060E8E9B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2EF2D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lang w:eastAsia="pt-BR"/>
              </w:rPr>
              <w:t xml:space="preserve"> Renda Fixa - Dívida Externa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E95BF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398BA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86F754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B30BF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A0A6B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9º A, I</w:t>
            </w:r>
          </w:p>
        </w:tc>
      </w:tr>
      <w:tr w:rsidR="00DF70D3" w:rsidRPr="00026772" w14:paraId="0FCB3B8F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7817AB7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b/>
                <w:bCs/>
                <w:color w:val="000000"/>
                <w:lang w:eastAsia="pt-BR"/>
              </w:rPr>
              <w:t>Fundos de Investimento no Exterior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D4DB757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97F5DFE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 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645CDDC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3 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EF76309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39F429D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9º A, II</w:t>
            </w:r>
          </w:p>
        </w:tc>
      </w:tr>
      <w:tr w:rsidR="00DF70D3" w:rsidRPr="00026772" w14:paraId="1EE1E661" w14:textId="77777777" w:rsidTr="00B75C32">
        <w:trPr>
          <w:trHeight w:val="3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88B1C" w14:textId="77777777" w:rsidR="00DF70D3" w:rsidRPr="003A6E69" w:rsidRDefault="00DF70D3" w:rsidP="00BA0CB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b/>
                <w:bCs/>
                <w:color w:val="000000"/>
                <w:lang w:eastAsia="pt-BR"/>
              </w:rPr>
              <w:t>Ações - BDR Nível 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D6073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A0D3A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0%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A0E69" w14:textId="77777777" w:rsidR="00DF70D3" w:rsidRPr="002845A3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t-BR"/>
              </w:rPr>
            </w:pPr>
            <w:r w:rsidRPr="002845A3">
              <w:rPr>
                <w:rFonts w:eastAsia="Times New Roman" w:cs="Calibri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7AFA8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10%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A8DE1" w14:textId="77777777" w:rsidR="00DF70D3" w:rsidRPr="003A6E69" w:rsidRDefault="00DF70D3" w:rsidP="00BA0CBA">
            <w:pPr>
              <w:spacing w:after="0" w:line="240" w:lineRule="auto"/>
              <w:jc w:val="center"/>
              <w:rPr>
                <w:rFonts w:eastAsia="Times New Roman" w:cs="Calibri"/>
                <w:lang w:eastAsia="pt-BR"/>
              </w:rPr>
            </w:pPr>
            <w:r w:rsidRPr="003A6E69">
              <w:rPr>
                <w:rFonts w:eastAsia="Times New Roman" w:cs="Calibri"/>
                <w:color w:val="000000"/>
                <w:lang w:eastAsia="pt-BR"/>
              </w:rPr>
              <w:t>Art. 9º A, III</w:t>
            </w:r>
          </w:p>
        </w:tc>
      </w:tr>
    </w:tbl>
    <w:p w14:paraId="2266979A" w14:textId="77777777" w:rsidR="00746000" w:rsidRPr="00BD5D7C" w:rsidRDefault="00746000" w:rsidP="00BD5D7C">
      <w:pPr>
        <w:rPr>
          <w:rFonts w:ascii="Century Gothic" w:hAnsi="Century Gothic"/>
          <w:b/>
          <w:sz w:val="24"/>
          <w:szCs w:val="24"/>
        </w:rPr>
      </w:pPr>
    </w:p>
    <w:p w14:paraId="04007257" w14:textId="6EDFC93C" w:rsidR="00746000" w:rsidRDefault="00746000" w:rsidP="00DF70D3">
      <w:pPr>
        <w:spacing w:before="60" w:after="0"/>
        <w:ind w:left="-142" w:right="-568" w:hanging="425"/>
        <w:jc w:val="center"/>
        <w:rPr>
          <w:rFonts w:ascii="Century Gothic" w:eastAsiaTheme="minorHAnsi" w:hAnsi="Century Gothic" w:cs="BookmanOldStyle"/>
        </w:rPr>
      </w:pPr>
      <w:r>
        <w:rPr>
          <w:rFonts w:ascii="Century Gothic" w:hAnsi="Century Gothic"/>
          <w:b/>
          <w:sz w:val="24"/>
          <w:szCs w:val="24"/>
        </w:rPr>
        <w:t xml:space="preserve">   </w:t>
      </w:r>
      <w:bookmarkStart w:id="4" w:name="_3rdcrjn" w:colFirst="0" w:colLast="0"/>
      <w:bookmarkEnd w:id="4"/>
    </w:p>
    <w:p w14:paraId="202F329F" w14:textId="04CC1EA6" w:rsidR="00861938" w:rsidRPr="00746000" w:rsidRDefault="00810B1A" w:rsidP="00896CD3">
      <w:pPr>
        <w:autoSpaceDE w:val="0"/>
        <w:autoSpaceDN w:val="0"/>
        <w:adjustRightInd w:val="0"/>
        <w:spacing w:after="0"/>
        <w:jc w:val="both"/>
        <w:rPr>
          <w:rFonts w:ascii="Century Gothic" w:eastAsiaTheme="minorHAnsi" w:hAnsi="Century Gothic" w:cs="BookmanOldStyle"/>
        </w:rPr>
      </w:pPr>
      <w:r w:rsidRPr="00746000">
        <w:rPr>
          <w:rFonts w:ascii="Century Gothic" w:eastAsiaTheme="minorHAnsi" w:hAnsi="Century Gothic" w:cs="BookmanOldStyle"/>
        </w:rPr>
        <w:t xml:space="preserve">O comitê finalizou a elaboração da </w:t>
      </w:r>
      <w:r w:rsidRPr="00746000">
        <w:rPr>
          <w:rFonts w:ascii="Century Gothic" w:eastAsiaTheme="minorHAnsi" w:hAnsi="Century Gothic" w:cs="BookmanOldStyle"/>
          <w:b/>
        </w:rPr>
        <w:t>política de investimentos para o ano de 20</w:t>
      </w:r>
      <w:r w:rsidR="00746000" w:rsidRPr="00746000">
        <w:rPr>
          <w:rFonts w:ascii="Century Gothic" w:eastAsiaTheme="minorHAnsi" w:hAnsi="Century Gothic" w:cs="BookmanOldStyle"/>
          <w:b/>
        </w:rPr>
        <w:t>2</w:t>
      </w:r>
      <w:r w:rsidR="002845A3">
        <w:rPr>
          <w:rFonts w:ascii="Century Gothic" w:eastAsiaTheme="minorHAnsi" w:hAnsi="Century Gothic" w:cs="BookmanOldStyle"/>
          <w:b/>
        </w:rPr>
        <w:t>1</w:t>
      </w:r>
      <w:r w:rsidRPr="00746000">
        <w:rPr>
          <w:rFonts w:ascii="Century Gothic" w:eastAsiaTheme="minorHAnsi" w:hAnsi="Century Gothic" w:cs="BookmanOldStyle"/>
        </w:rPr>
        <w:t xml:space="preserve"> e levará para aprovação do conselho de administração. </w:t>
      </w:r>
    </w:p>
    <w:p w14:paraId="4DB5CE62" w14:textId="77777777" w:rsidR="001C3A0F" w:rsidRPr="00746000" w:rsidRDefault="001C3A0F" w:rsidP="00896CD3">
      <w:pPr>
        <w:autoSpaceDE w:val="0"/>
        <w:autoSpaceDN w:val="0"/>
        <w:adjustRightInd w:val="0"/>
        <w:spacing w:after="0"/>
        <w:jc w:val="both"/>
        <w:rPr>
          <w:rFonts w:ascii="Century Gothic" w:eastAsiaTheme="minorHAnsi" w:hAnsi="Century Gothic" w:cs="BookmanOldStyle"/>
        </w:rPr>
      </w:pPr>
    </w:p>
    <w:p w14:paraId="7BD8A63C" w14:textId="5E2A40E1" w:rsidR="002847AA" w:rsidRPr="00692575" w:rsidRDefault="001C3A0F" w:rsidP="00746000">
      <w:pPr>
        <w:tabs>
          <w:tab w:val="left" w:pos="8364"/>
        </w:tabs>
        <w:autoSpaceDE w:val="0"/>
        <w:autoSpaceDN w:val="0"/>
        <w:adjustRightInd w:val="0"/>
        <w:jc w:val="both"/>
        <w:rPr>
          <w:rFonts w:ascii="Century Gothic" w:hAnsi="Century Gothic" w:cs="Arial"/>
          <w:i/>
          <w:sz w:val="24"/>
          <w:szCs w:val="24"/>
        </w:rPr>
      </w:pPr>
      <w:r w:rsidRPr="00746000">
        <w:rPr>
          <w:rFonts w:ascii="Century Gothic" w:hAnsi="Century Gothic" w:cs="Arial"/>
        </w:rPr>
        <w:t xml:space="preserve">Nada mais havendo a tratar, a reunião foi encerrada às </w:t>
      </w:r>
      <w:r w:rsidR="00746000" w:rsidRPr="00746000">
        <w:rPr>
          <w:rFonts w:ascii="Century Gothic" w:hAnsi="Century Gothic" w:cs="Arial"/>
        </w:rPr>
        <w:t>1</w:t>
      </w:r>
      <w:r w:rsidR="00D23949">
        <w:rPr>
          <w:rFonts w:ascii="Century Gothic" w:hAnsi="Century Gothic" w:cs="Arial"/>
        </w:rPr>
        <w:t>1</w:t>
      </w:r>
      <w:r w:rsidR="00746000" w:rsidRPr="00746000">
        <w:rPr>
          <w:rFonts w:ascii="Century Gothic" w:hAnsi="Century Gothic" w:cs="Arial"/>
        </w:rPr>
        <w:t>:</w:t>
      </w:r>
      <w:r w:rsidR="00D23949">
        <w:rPr>
          <w:rFonts w:ascii="Century Gothic" w:hAnsi="Century Gothic" w:cs="Arial"/>
        </w:rPr>
        <w:t>4</w:t>
      </w:r>
      <w:r w:rsidR="00746000" w:rsidRPr="00746000">
        <w:rPr>
          <w:rFonts w:ascii="Century Gothic" w:hAnsi="Century Gothic" w:cs="Arial"/>
        </w:rPr>
        <w:t>0</w:t>
      </w:r>
      <w:r w:rsidRPr="00746000">
        <w:rPr>
          <w:rFonts w:ascii="Century Gothic" w:hAnsi="Century Gothic" w:cs="Arial"/>
        </w:rPr>
        <w:t>hs, onde a ata foi lida, aprovada e assinada pelos integrantes do comitê presentes à reunião.</w:t>
      </w:r>
    </w:p>
    <w:p w14:paraId="416E38AB" w14:textId="77777777" w:rsidR="009F732A" w:rsidRDefault="009F732A" w:rsidP="00D67CB1">
      <w:pPr>
        <w:spacing w:after="0" w:line="240" w:lineRule="auto"/>
        <w:jc w:val="both"/>
        <w:rPr>
          <w:rFonts w:ascii="Century Gothic" w:hAnsi="Century Gothic" w:cs="Arial"/>
          <w:i/>
          <w:sz w:val="24"/>
          <w:szCs w:val="24"/>
        </w:rPr>
      </w:pPr>
    </w:p>
    <w:p w14:paraId="3C80CF1D" w14:textId="25C073A3" w:rsidR="00AE3A7F" w:rsidRDefault="00AE3A7F" w:rsidP="00D67CB1">
      <w:pPr>
        <w:spacing w:after="0" w:line="240" w:lineRule="auto"/>
        <w:jc w:val="both"/>
        <w:rPr>
          <w:rFonts w:ascii="Century Gothic" w:hAnsi="Century Gothic" w:cs="Arial"/>
          <w:i/>
          <w:sz w:val="24"/>
          <w:szCs w:val="24"/>
        </w:rPr>
      </w:pPr>
    </w:p>
    <w:p w14:paraId="632109EE" w14:textId="0586E7E0" w:rsidR="002845A3" w:rsidRDefault="002845A3" w:rsidP="00D67CB1">
      <w:pPr>
        <w:spacing w:after="0" w:line="240" w:lineRule="auto"/>
        <w:jc w:val="both"/>
        <w:rPr>
          <w:rFonts w:ascii="Century Gothic" w:hAnsi="Century Gothic" w:cs="Arial"/>
          <w:i/>
          <w:sz w:val="24"/>
          <w:szCs w:val="24"/>
        </w:rPr>
      </w:pPr>
    </w:p>
    <w:p w14:paraId="237A2BE2" w14:textId="77777777" w:rsidR="002845A3" w:rsidRPr="00692575" w:rsidRDefault="002845A3" w:rsidP="00D67CB1">
      <w:pPr>
        <w:spacing w:after="0" w:line="240" w:lineRule="auto"/>
        <w:jc w:val="both"/>
        <w:rPr>
          <w:rFonts w:ascii="Century Gothic" w:hAnsi="Century Gothic" w:cs="Arial"/>
          <w:i/>
          <w:sz w:val="24"/>
          <w:szCs w:val="24"/>
        </w:rPr>
      </w:pPr>
    </w:p>
    <w:p w14:paraId="349660F4" w14:textId="77777777" w:rsidR="00DA73B3" w:rsidRPr="00692575" w:rsidRDefault="00DA73B3" w:rsidP="00D67CB1">
      <w:pPr>
        <w:spacing w:after="0" w:line="240" w:lineRule="auto"/>
        <w:jc w:val="both"/>
        <w:rPr>
          <w:rFonts w:ascii="Century Gothic" w:hAnsi="Century Gothic" w:cs="Arial"/>
          <w:i/>
          <w:sz w:val="24"/>
          <w:szCs w:val="24"/>
        </w:rPr>
      </w:pPr>
    </w:p>
    <w:p w14:paraId="08124D2E" w14:textId="77777777" w:rsidR="00695910" w:rsidRPr="00692575" w:rsidRDefault="00D67CB1" w:rsidP="00771CB1">
      <w:pPr>
        <w:spacing w:after="0" w:line="240" w:lineRule="auto"/>
        <w:ind w:left="-284"/>
        <w:jc w:val="center"/>
        <w:rPr>
          <w:rFonts w:ascii="Century Gothic" w:hAnsi="Century Gothic" w:cs="Arial"/>
        </w:rPr>
      </w:pPr>
      <w:r w:rsidRPr="00692575">
        <w:rPr>
          <w:rFonts w:ascii="Century Gothic" w:hAnsi="Century Gothic" w:cs="Arial"/>
          <w:i/>
        </w:rPr>
        <w:t xml:space="preserve">Adauto c. Mariola      </w:t>
      </w:r>
      <w:r w:rsidR="00B45D41">
        <w:rPr>
          <w:rFonts w:ascii="Century Gothic" w:hAnsi="Century Gothic" w:cs="Arial"/>
          <w:i/>
        </w:rPr>
        <w:t xml:space="preserve">João B. André      </w:t>
      </w:r>
      <w:r w:rsidRPr="00692575">
        <w:rPr>
          <w:rFonts w:ascii="Century Gothic" w:hAnsi="Century Gothic" w:cs="Arial"/>
          <w:i/>
        </w:rPr>
        <w:t xml:space="preserve">Agnaldo S. </w:t>
      </w:r>
      <w:proofErr w:type="spellStart"/>
      <w:r w:rsidRPr="00692575">
        <w:rPr>
          <w:rFonts w:ascii="Century Gothic" w:hAnsi="Century Gothic" w:cs="Arial"/>
          <w:i/>
        </w:rPr>
        <w:t>Masson</w:t>
      </w:r>
      <w:proofErr w:type="spellEnd"/>
      <w:r w:rsidR="00896CD3">
        <w:rPr>
          <w:rFonts w:ascii="Century Gothic" w:hAnsi="Century Gothic" w:cs="Arial"/>
          <w:i/>
        </w:rPr>
        <w:t xml:space="preserve">        </w:t>
      </w:r>
      <w:r w:rsidRPr="00692575">
        <w:rPr>
          <w:rFonts w:ascii="Century Gothic" w:hAnsi="Century Gothic" w:cs="Arial"/>
        </w:rPr>
        <w:t>Alexandre V. Lima</w:t>
      </w:r>
    </w:p>
    <w:sectPr w:rsidR="00695910" w:rsidRPr="00692575" w:rsidSect="00B75C32">
      <w:headerReference w:type="default" r:id="rId8"/>
      <w:footerReference w:type="default" r:id="rId9"/>
      <w:pgSz w:w="11906" w:h="16838"/>
      <w:pgMar w:top="1417" w:right="1701" w:bottom="1417" w:left="1418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F8A582" w14:textId="77777777" w:rsidR="00513CD5" w:rsidRDefault="00513CD5" w:rsidP="009375C4">
      <w:pPr>
        <w:spacing w:after="0" w:line="240" w:lineRule="auto"/>
      </w:pPr>
      <w:r>
        <w:separator/>
      </w:r>
    </w:p>
  </w:endnote>
  <w:endnote w:type="continuationSeparator" w:id="0">
    <w:p w14:paraId="27208FBB" w14:textId="77777777" w:rsidR="00513CD5" w:rsidRDefault="00513CD5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5E8416" w14:textId="77777777" w:rsidR="00513CD5" w:rsidRPr="00AE0606" w:rsidRDefault="00513CD5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14:paraId="6FFDFF87" w14:textId="77777777" w:rsidR="00513CD5" w:rsidRPr="00AE0606" w:rsidRDefault="00513CD5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279DB3" w14:textId="77777777" w:rsidR="00513CD5" w:rsidRDefault="00513CD5" w:rsidP="009375C4">
      <w:pPr>
        <w:spacing w:after="0" w:line="240" w:lineRule="auto"/>
      </w:pPr>
      <w:r>
        <w:separator/>
      </w:r>
    </w:p>
  </w:footnote>
  <w:footnote w:type="continuationSeparator" w:id="0">
    <w:p w14:paraId="66D50F4D" w14:textId="77777777" w:rsidR="00513CD5" w:rsidRDefault="00513CD5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B77BD9" w14:textId="77777777" w:rsidR="00513CD5" w:rsidRDefault="00513CD5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7216" behindDoc="0" locked="0" layoutInCell="1" allowOverlap="1" wp14:anchorId="4B420D89" wp14:editId="400E17D6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1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7B54920" wp14:editId="00C34F68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14" name="Imagem 14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</w:p>
  <w:p w14:paraId="32171C82" w14:textId="77777777" w:rsidR="00513CD5" w:rsidRDefault="00513CD5" w:rsidP="004853BC">
    <w:pPr>
      <w:pStyle w:val="Cabealho"/>
      <w:tabs>
        <w:tab w:val="clear" w:pos="4252"/>
        <w:tab w:val="clear" w:pos="8504"/>
        <w:tab w:val="left" w:pos="1725"/>
      </w:tabs>
      <w:ind w:left="-284"/>
    </w:pPr>
  </w:p>
  <w:p w14:paraId="3BAD77A0" w14:textId="77777777" w:rsidR="00513CD5" w:rsidRDefault="00513CD5" w:rsidP="004853BC">
    <w:pPr>
      <w:pStyle w:val="Cabealho"/>
      <w:tabs>
        <w:tab w:val="clear" w:pos="4252"/>
        <w:tab w:val="clear" w:pos="8504"/>
        <w:tab w:val="left" w:pos="1725"/>
      </w:tabs>
      <w:ind w:left="-284"/>
    </w:pPr>
  </w:p>
  <w:p w14:paraId="08D30B25" w14:textId="77777777" w:rsidR="00513CD5" w:rsidRDefault="00513CD5" w:rsidP="004853BC">
    <w:pPr>
      <w:pStyle w:val="Cabealho"/>
      <w:tabs>
        <w:tab w:val="clear" w:pos="4252"/>
        <w:tab w:val="clear" w:pos="8504"/>
        <w:tab w:val="left" w:pos="1725"/>
      </w:tabs>
      <w:ind w:left="-284"/>
    </w:pPr>
  </w:p>
  <w:p w14:paraId="235F5200" w14:textId="77777777" w:rsidR="00513CD5" w:rsidRDefault="00513CD5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62E660E"/>
    <w:multiLevelType w:val="multilevel"/>
    <w:tmpl w:val="D322687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lowerLetter"/>
      <w:lvlText w:val="%5."/>
      <w:lvlJc w:val="left"/>
      <w:pPr>
        <w:ind w:left="2160" w:hanging="360"/>
      </w:pPr>
    </w:lvl>
    <w:lvl w:ilvl="5">
      <w:start w:val="1"/>
      <w:numFmt w:val="lowerRoman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4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102CD3"/>
    <w:multiLevelType w:val="multilevel"/>
    <w:tmpl w:val="257A1334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7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0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1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10"/>
  </w:num>
  <w:num w:numId="5">
    <w:abstractNumId w:val="5"/>
  </w:num>
  <w:num w:numId="6">
    <w:abstractNumId w:val="7"/>
  </w:num>
  <w:num w:numId="7">
    <w:abstractNumId w:val="4"/>
  </w:num>
  <w:num w:numId="8">
    <w:abstractNumId w:val="11"/>
  </w:num>
  <w:num w:numId="9">
    <w:abstractNumId w:val="8"/>
  </w:num>
  <w:num w:numId="10">
    <w:abstractNumId w:val="0"/>
  </w:num>
  <w:num w:numId="11">
    <w:abstractNumId w:val="12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9569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0CFD"/>
    <w:rsid w:val="000133A8"/>
    <w:rsid w:val="00020D6F"/>
    <w:rsid w:val="000327B4"/>
    <w:rsid w:val="000375E4"/>
    <w:rsid w:val="000375FA"/>
    <w:rsid w:val="00044A50"/>
    <w:rsid w:val="00046906"/>
    <w:rsid w:val="00061EBB"/>
    <w:rsid w:val="00062E1F"/>
    <w:rsid w:val="00065C90"/>
    <w:rsid w:val="000711CD"/>
    <w:rsid w:val="0007386E"/>
    <w:rsid w:val="00074061"/>
    <w:rsid w:val="000A0510"/>
    <w:rsid w:val="000A5A82"/>
    <w:rsid w:val="000B566E"/>
    <w:rsid w:val="000B65A9"/>
    <w:rsid w:val="000C238A"/>
    <w:rsid w:val="000D1375"/>
    <w:rsid w:val="000D2DAD"/>
    <w:rsid w:val="000D60B5"/>
    <w:rsid w:val="000D760D"/>
    <w:rsid w:val="000E60B4"/>
    <w:rsid w:val="00106E55"/>
    <w:rsid w:val="00117B9D"/>
    <w:rsid w:val="00134A76"/>
    <w:rsid w:val="00146014"/>
    <w:rsid w:val="0014636C"/>
    <w:rsid w:val="001516C0"/>
    <w:rsid w:val="00155962"/>
    <w:rsid w:val="001630FC"/>
    <w:rsid w:val="0017139C"/>
    <w:rsid w:val="00176F1B"/>
    <w:rsid w:val="00187143"/>
    <w:rsid w:val="001A1AD3"/>
    <w:rsid w:val="001A4403"/>
    <w:rsid w:val="001C3A0F"/>
    <w:rsid w:val="001D1DF1"/>
    <w:rsid w:val="001D67ED"/>
    <w:rsid w:val="001E4C89"/>
    <w:rsid w:val="00200C6C"/>
    <w:rsid w:val="002068C5"/>
    <w:rsid w:val="00213910"/>
    <w:rsid w:val="0025093D"/>
    <w:rsid w:val="00251D27"/>
    <w:rsid w:val="0025325E"/>
    <w:rsid w:val="00254B16"/>
    <w:rsid w:val="002624D4"/>
    <w:rsid w:val="00270F4B"/>
    <w:rsid w:val="002724D8"/>
    <w:rsid w:val="00273CF9"/>
    <w:rsid w:val="002740E8"/>
    <w:rsid w:val="00274802"/>
    <w:rsid w:val="00276608"/>
    <w:rsid w:val="002845A3"/>
    <w:rsid w:val="002847AA"/>
    <w:rsid w:val="00285E5F"/>
    <w:rsid w:val="00286013"/>
    <w:rsid w:val="002870B3"/>
    <w:rsid w:val="002912FE"/>
    <w:rsid w:val="00291C9B"/>
    <w:rsid w:val="00296E36"/>
    <w:rsid w:val="002B3343"/>
    <w:rsid w:val="002C0399"/>
    <w:rsid w:val="002C7045"/>
    <w:rsid w:val="002D3AB9"/>
    <w:rsid w:val="002E0BB5"/>
    <w:rsid w:val="002E544E"/>
    <w:rsid w:val="002F1CDF"/>
    <w:rsid w:val="002F354E"/>
    <w:rsid w:val="003147B0"/>
    <w:rsid w:val="00327AFE"/>
    <w:rsid w:val="00352285"/>
    <w:rsid w:val="00352DE2"/>
    <w:rsid w:val="0035528C"/>
    <w:rsid w:val="0036155A"/>
    <w:rsid w:val="00371177"/>
    <w:rsid w:val="00371632"/>
    <w:rsid w:val="003725E7"/>
    <w:rsid w:val="003818F3"/>
    <w:rsid w:val="00387F5C"/>
    <w:rsid w:val="003A10B8"/>
    <w:rsid w:val="003A3C75"/>
    <w:rsid w:val="003A6E69"/>
    <w:rsid w:val="003A7154"/>
    <w:rsid w:val="003B1292"/>
    <w:rsid w:val="003B1918"/>
    <w:rsid w:val="003B3608"/>
    <w:rsid w:val="003B37FD"/>
    <w:rsid w:val="003C0384"/>
    <w:rsid w:val="003C184B"/>
    <w:rsid w:val="003C3F6E"/>
    <w:rsid w:val="003E32DD"/>
    <w:rsid w:val="003E7955"/>
    <w:rsid w:val="0040642C"/>
    <w:rsid w:val="00407F38"/>
    <w:rsid w:val="00410211"/>
    <w:rsid w:val="0041392C"/>
    <w:rsid w:val="00420AF7"/>
    <w:rsid w:val="00424B63"/>
    <w:rsid w:val="00427CD6"/>
    <w:rsid w:val="00434F2F"/>
    <w:rsid w:val="00452680"/>
    <w:rsid w:val="00476723"/>
    <w:rsid w:val="00484F0C"/>
    <w:rsid w:val="004853BC"/>
    <w:rsid w:val="00486575"/>
    <w:rsid w:val="004A1754"/>
    <w:rsid w:val="004A2947"/>
    <w:rsid w:val="004A3E6B"/>
    <w:rsid w:val="004A7DF7"/>
    <w:rsid w:val="004D1A6C"/>
    <w:rsid w:val="004D46B9"/>
    <w:rsid w:val="004E3620"/>
    <w:rsid w:val="004F1A08"/>
    <w:rsid w:val="004F3549"/>
    <w:rsid w:val="004F50E1"/>
    <w:rsid w:val="004F5CB0"/>
    <w:rsid w:val="00506D86"/>
    <w:rsid w:val="00513CD5"/>
    <w:rsid w:val="00514F11"/>
    <w:rsid w:val="005340A3"/>
    <w:rsid w:val="00552684"/>
    <w:rsid w:val="00553822"/>
    <w:rsid w:val="00565628"/>
    <w:rsid w:val="00582033"/>
    <w:rsid w:val="00595D9D"/>
    <w:rsid w:val="00597AC5"/>
    <w:rsid w:val="005A0E7E"/>
    <w:rsid w:val="005A12E2"/>
    <w:rsid w:val="005B0BA1"/>
    <w:rsid w:val="005C35C4"/>
    <w:rsid w:val="005C450B"/>
    <w:rsid w:val="005C4C40"/>
    <w:rsid w:val="00600182"/>
    <w:rsid w:val="00601A35"/>
    <w:rsid w:val="00601E40"/>
    <w:rsid w:val="006061BE"/>
    <w:rsid w:val="00615973"/>
    <w:rsid w:val="006277AD"/>
    <w:rsid w:val="0063284F"/>
    <w:rsid w:val="006436D7"/>
    <w:rsid w:val="00650529"/>
    <w:rsid w:val="006565BC"/>
    <w:rsid w:val="00664F78"/>
    <w:rsid w:val="00666CDA"/>
    <w:rsid w:val="00667C6F"/>
    <w:rsid w:val="00672140"/>
    <w:rsid w:val="00677269"/>
    <w:rsid w:val="00692575"/>
    <w:rsid w:val="00693C2E"/>
    <w:rsid w:val="00695910"/>
    <w:rsid w:val="006A215E"/>
    <w:rsid w:val="006B15BF"/>
    <w:rsid w:val="006B4515"/>
    <w:rsid w:val="006C10BF"/>
    <w:rsid w:val="006C4DE6"/>
    <w:rsid w:val="006C5706"/>
    <w:rsid w:val="006C5E61"/>
    <w:rsid w:val="006C7BCD"/>
    <w:rsid w:val="006D5526"/>
    <w:rsid w:val="006D7B84"/>
    <w:rsid w:val="006E341E"/>
    <w:rsid w:val="006F1442"/>
    <w:rsid w:val="007031D3"/>
    <w:rsid w:val="0070375C"/>
    <w:rsid w:val="00704FC5"/>
    <w:rsid w:val="00713B8A"/>
    <w:rsid w:val="00714264"/>
    <w:rsid w:val="00721A39"/>
    <w:rsid w:val="00722E42"/>
    <w:rsid w:val="007271A8"/>
    <w:rsid w:val="00730FC2"/>
    <w:rsid w:val="00731834"/>
    <w:rsid w:val="00733354"/>
    <w:rsid w:val="00733C60"/>
    <w:rsid w:val="00746000"/>
    <w:rsid w:val="00771CB1"/>
    <w:rsid w:val="007843A0"/>
    <w:rsid w:val="00793CE3"/>
    <w:rsid w:val="00794D38"/>
    <w:rsid w:val="007A47AE"/>
    <w:rsid w:val="007B25D6"/>
    <w:rsid w:val="007C1FD1"/>
    <w:rsid w:val="007E3313"/>
    <w:rsid w:val="007F0A01"/>
    <w:rsid w:val="00801064"/>
    <w:rsid w:val="00805C71"/>
    <w:rsid w:val="008074AE"/>
    <w:rsid w:val="00810B1A"/>
    <w:rsid w:val="00812327"/>
    <w:rsid w:val="00842CC5"/>
    <w:rsid w:val="00861938"/>
    <w:rsid w:val="00874054"/>
    <w:rsid w:val="00874281"/>
    <w:rsid w:val="00875280"/>
    <w:rsid w:val="0088008E"/>
    <w:rsid w:val="00884B59"/>
    <w:rsid w:val="00893D8F"/>
    <w:rsid w:val="00896CD3"/>
    <w:rsid w:val="008C040B"/>
    <w:rsid w:val="008F4979"/>
    <w:rsid w:val="008F7A94"/>
    <w:rsid w:val="009202CB"/>
    <w:rsid w:val="00936AB8"/>
    <w:rsid w:val="009375C4"/>
    <w:rsid w:val="0094510A"/>
    <w:rsid w:val="00953126"/>
    <w:rsid w:val="00954801"/>
    <w:rsid w:val="009625D1"/>
    <w:rsid w:val="0096444B"/>
    <w:rsid w:val="00972A2F"/>
    <w:rsid w:val="0097665A"/>
    <w:rsid w:val="00981EE2"/>
    <w:rsid w:val="009827B3"/>
    <w:rsid w:val="009863B5"/>
    <w:rsid w:val="00993D60"/>
    <w:rsid w:val="009A1541"/>
    <w:rsid w:val="009A748B"/>
    <w:rsid w:val="009B43E3"/>
    <w:rsid w:val="009C17B7"/>
    <w:rsid w:val="009E170A"/>
    <w:rsid w:val="009F732A"/>
    <w:rsid w:val="00A07AEC"/>
    <w:rsid w:val="00A22BE6"/>
    <w:rsid w:val="00A37D16"/>
    <w:rsid w:val="00A46E96"/>
    <w:rsid w:val="00A562AE"/>
    <w:rsid w:val="00A6051A"/>
    <w:rsid w:val="00A730F1"/>
    <w:rsid w:val="00A8550A"/>
    <w:rsid w:val="00A86265"/>
    <w:rsid w:val="00A8714A"/>
    <w:rsid w:val="00A87721"/>
    <w:rsid w:val="00A9504D"/>
    <w:rsid w:val="00A95EE3"/>
    <w:rsid w:val="00AA1861"/>
    <w:rsid w:val="00AB1E91"/>
    <w:rsid w:val="00AB3C67"/>
    <w:rsid w:val="00AC0CFD"/>
    <w:rsid w:val="00AC4677"/>
    <w:rsid w:val="00AD1E21"/>
    <w:rsid w:val="00AD5436"/>
    <w:rsid w:val="00AE0606"/>
    <w:rsid w:val="00AE3A7F"/>
    <w:rsid w:val="00AF6219"/>
    <w:rsid w:val="00B01130"/>
    <w:rsid w:val="00B02A12"/>
    <w:rsid w:val="00B3130B"/>
    <w:rsid w:val="00B45D41"/>
    <w:rsid w:val="00B50A47"/>
    <w:rsid w:val="00B61661"/>
    <w:rsid w:val="00B7256F"/>
    <w:rsid w:val="00B75C32"/>
    <w:rsid w:val="00BA4BDF"/>
    <w:rsid w:val="00BB0725"/>
    <w:rsid w:val="00BB7450"/>
    <w:rsid w:val="00BC411C"/>
    <w:rsid w:val="00BD5D7C"/>
    <w:rsid w:val="00BE0973"/>
    <w:rsid w:val="00BF26CA"/>
    <w:rsid w:val="00BF78FB"/>
    <w:rsid w:val="00C010A5"/>
    <w:rsid w:val="00C02784"/>
    <w:rsid w:val="00C028E7"/>
    <w:rsid w:val="00C06832"/>
    <w:rsid w:val="00C20E2B"/>
    <w:rsid w:val="00C33224"/>
    <w:rsid w:val="00C3650F"/>
    <w:rsid w:val="00C41576"/>
    <w:rsid w:val="00C449B3"/>
    <w:rsid w:val="00C471E7"/>
    <w:rsid w:val="00C51526"/>
    <w:rsid w:val="00C53E5C"/>
    <w:rsid w:val="00C56C07"/>
    <w:rsid w:val="00C623B9"/>
    <w:rsid w:val="00C63BCF"/>
    <w:rsid w:val="00C76592"/>
    <w:rsid w:val="00C833C8"/>
    <w:rsid w:val="00C85FD3"/>
    <w:rsid w:val="00C9178E"/>
    <w:rsid w:val="00CD02CA"/>
    <w:rsid w:val="00CF43D5"/>
    <w:rsid w:val="00D03ADF"/>
    <w:rsid w:val="00D0460A"/>
    <w:rsid w:val="00D11D9A"/>
    <w:rsid w:val="00D1728E"/>
    <w:rsid w:val="00D22E8A"/>
    <w:rsid w:val="00D23949"/>
    <w:rsid w:val="00D2634B"/>
    <w:rsid w:val="00D40408"/>
    <w:rsid w:val="00D56A27"/>
    <w:rsid w:val="00D6556A"/>
    <w:rsid w:val="00D659F9"/>
    <w:rsid w:val="00D67CB1"/>
    <w:rsid w:val="00D90BC6"/>
    <w:rsid w:val="00D91C19"/>
    <w:rsid w:val="00D94A7A"/>
    <w:rsid w:val="00DA1C60"/>
    <w:rsid w:val="00DA73B3"/>
    <w:rsid w:val="00DB136F"/>
    <w:rsid w:val="00DC3F11"/>
    <w:rsid w:val="00DC47E5"/>
    <w:rsid w:val="00DD5609"/>
    <w:rsid w:val="00DD7D43"/>
    <w:rsid w:val="00DE3936"/>
    <w:rsid w:val="00DF15CD"/>
    <w:rsid w:val="00DF6285"/>
    <w:rsid w:val="00DF70D3"/>
    <w:rsid w:val="00E0525B"/>
    <w:rsid w:val="00E0668A"/>
    <w:rsid w:val="00E07F74"/>
    <w:rsid w:val="00E1320A"/>
    <w:rsid w:val="00E14875"/>
    <w:rsid w:val="00E1511F"/>
    <w:rsid w:val="00E3083F"/>
    <w:rsid w:val="00E47F49"/>
    <w:rsid w:val="00E51881"/>
    <w:rsid w:val="00E70AC9"/>
    <w:rsid w:val="00E80D78"/>
    <w:rsid w:val="00E87F27"/>
    <w:rsid w:val="00E92E31"/>
    <w:rsid w:val="00E9348C"/>
    <w:rsid w:val="00EA286F"/>
    <w:rsid w:val="00EA6B5A"/>
    <w:rsid w:val="00EC539A"/>
    <w:rsid w:val="00EC62C9"/>
    <w:rsid w:val="00EC6701"/>
    <w:rsid w:val="00EC7995"/>
    <w:rsid w:val="00ED0E65"/>
    <w:rsid w:val="00ED64AB"/>
    <w:rsid w:val="00ED792F"/>
    <w:rsid w:val="00ED7BD0"/>
    <w:rsid w:val="00EE2481"/>
    <w:rsid w:val="00EE4A36"/>
    <w:rsid w:val="00EE657E"/>
    <w:rsid w:val="00F05CD7"/>
    <w:rsid w:val="00F16B91"/>
    <w:rsid w:val="00F16FBE"/>
    <w:rsid w:val="00F21AD6"/>
    <w:rsid w:val="00F245C2"/>
    <w:rsid w:val="00F3032F"/>
    <w:rsid w:val="00F3236B"/>
    <w:rsid w:val="00F370C5"/>
    <w:rsid w:val="00F40004"/>
    <w:rsid w:val="00F46170"/>
    <w:rsid w:val="00F57257"/>
    <w:rsid w:val="00F70C22"/>
    <w:rsid w:val="00F85522"/>
    <w:rsid w:val="00F9418B"/>
    <w:rsid w:val="00FA5970"/>
    <w:rsid w:val="00FC3078"/>
    <w:rsid w:val="00FC7667"/>
    <w:rsid w:val="00FE39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69">
      <o:colormenu v:ext="edit" strokecolor="none"/>
    </o:shapedefaults>
    <o:shapelayout v:ext="edit">
      <o:idmap v:ext="edit" data="1"/>
    </o:shapelayout>
  </w:shapeDefaults>
  <w:decimalSymbol w:val=","/>
  <w:listSeparator w:val=";"/>
  <w14:docId w14:val="64CDAB67"/>
  <w15:docId w15:val="{D304156B-A532-41C6-9669-692477CCB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Normal"/>
    <w:uiPriority w:val="1"/>
    <w:qFormat/>
    <w:rsid w:val="00896CD3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3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00537E-62A2-468C-927A-DEF19C2BA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813</TotalTime>
  <Pages>2</Pages>
  <Words>508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adautomariola</cp:lastModifiedBy>
  <cp:revision>43</cp:revision>
  <cp:lastPrinted>2019-11-14T12:11:00Z</cp:lastPrinted>
  <dcterms:created xsi:type="dcterms:W3CDTF">2017-08-11T10:28:00Z</dcterms:created>
  <dcterms:modified xsi:type="dcterms:W3CDTF">2020-11-24T18:02:00Z</dcterms:modified>
</cp:coreProperties>
</file>